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5000" w:type="pct"/>
        <w:tblInd w:w="0" w:type="dxa"/>
        <w:tblLayout w:type="autofit"/>
        <w:tblCellMar>
          <w:top w:w="0" w:type="dxa"/>
          <w:left w:w="108" w:type="dxa"/>
          <w:bottom w:w="0" w:type="dxa"/>
          <w:right w:w="108" w:type="dxa"/>
        </w:tblCellMar>
      </w:tblPr>
      <w:tblGrid>
        <w:gridCol w:w="2840"/>
        <w:gridCol w:w="2841"/>
        <w:gridCol w:w="2841"/>
      </w:tblGrid>
      <w:tr w14:paraId="293B17AE">
        <w:tblPrEx>
          <w:tblCellMar>
            <w:top w:w="0" w:type="dxa"/>
            <w:left w:w="108" w:type="dxa"/>
            <w:bottom w:w="0" w:type="dxa"/>
            <w:right w:w="108" w:type="dxa"/>
          </w:tblCellMar>
        </w:tblPrEx>
        <w:tc>
          <w:tcPr>
            <w:tcW w:w="1666" w:type="pct"/>
            <w:noWrap w:val="0"/>
            <w:vAlign w:val="top"/>
          </w:tcPr>
          <w:p w14:paraId="7B9A3D96">
            <w:pPr>
              <w:adjustRightInd w:val="0"/>
              <w:snapToGrid w:val="0"/>
              <w:spacing w:line="440" w:lineRule="exact"/>
              <w:rPr>
                <w:rFonts w:hint="eastAsia"/>
                <w:sz w:val="24"/>
              </w:rPr>
            </w:pPr>
            <w:r>
              <w:rPr>
                <w:rFonts w:hint="eastAsia"/>
                <w:sz w:val="24"/>
              </w:rPr>
              <w:t>证券代码：000881</w:t>
            </w:r>
          </w:p>
        </w:tc>
        <w:tc>
          <w:tcPr>
            <w:tcW w:w="1667" w:type="pct"/>
            <w:noWrap w:val="0"/>
            <w:vAlign w:val="top"/>
          </w:tcPr>
          <w:p w14:paraId="6990A21B">
            <w:pPr>
              <w:adjustRightInd w:val="0"/>
              <w:snapToGrid w:val="0"/>
              <w:spacing w:line="440" w:lineRule="exact"/>
              <w:jc w:val="center"/>
              <w:rPr>
                <w:rFonts w:hint="eastAsia"/>
                <w:sz w:val="24"/>
              </w:rPr>
            </w:pPr>
            <w:r>
              <w:rPr>
                <w:rFonts w:hint="eastAsia"/>
                <w:sz w:val="24"/>
              </w:rPr>
              <w:t>证券简称：中广核技</w:t>
            </w:r>
          </w:p>
        </w:tc>
        <w:tc>
          <w:tcPr>
            <w:tcW w:w="1667" w:type="pct"/>
            <w:noWrap w:val="0"/>
            <w:vAlign w:val="top"/>
          </w:tcPr>
          <w:p w14:paraId="14B32102">
            <w:pPr>
              <w:adjustRightInd w:val="0"/>
              <w:snapToGrid w:val="0"/>
              <w:spacing w:line="440" w:lineRule="exact"/>
              <w:jc w:val="right"/>
              <w:rPr>
                <w:rFonts w:hint="default" w:eastAsia="宋体"/>
                <w:sz w:val="24"/>
                <w:lang w:val="en-US" w:eastAsia="zh-CN"/>
              </w:rPr>
            </w:pPr>
            <w:r>
              <w:rPr>
                <w:rFonts w:hint="eastAsia"/>
                <w:sz w:val="24"/>
              </w:rPr>
              <w:t>公告编号：202</w:t>
            </w:r>
            <w:r>
              <w:rPr>
                <w:rFonts w:hint="eastAsia"/>
                <w:sz w:val="24"/>
                <w:lang w:val="en-US" w:eastAsia="zh-CN"/>
              </w:rPr>
              <w:t>5</w:t>
            </w:r>
            <w:r>
              <w:rPr>
                <w:sz w:val="24"/>
              </w:rPr>
              <w:t>-</w:t>
            </w:r>
            <w:r>
              <w:rPr>
                <w:rFonts w:hint="eastAsia"/>
                <w:sz w:val="24"/>
              </w:rPr>
              <w:t>0</w:t>
            </w:r>
            <w:r>
              <w:rPr>
                <w:rFonts w:hint="eastAsia"/>
                <w:sz w:val="24"/>
                <w:lang w:val="en-US" w:eastAsia="zh-CN"/>
              </w:rPr>
              <w:t>30</w:t>
            </w:r>
          </w:p>
        </w:tc>
      </w:tr>
    </w:tbl>
    <w:p w14:paraId="2143CDCE">
      <w:pPr>
        <w:snapToGrid w:val="0"/>
        <w:spacing w:before="156" w:beforeLines="50"/>
        <w:jc w:val="center"/>
        <w:rPr>
          <w:b/>
          <w:sz w:val="36"/>
          <w:szCs w:val="36"/>
        </w:rPr>
      </w:pPr>
      <w:r>
        <w:rPr>
          <w:rFonts w:hint="eastAsia"/>
          <w:b/>
          <w:sz w:val="36"/>
          <w:szCs w:val="36"/>
        </w:rPr>
        <w:t>中广核核技术发展股份有限公司</w:t>
      </w:r>
    </w:p>
    <w:p w14:paraId="54DECD8E">
      <w:pPr>
        <w:snapToGrid w:val="0"/>
        <w:jc w:val="center"/>
        <w:rPr>
          <w:rFonts w:hint="eastAsia"/>
          <w:b/>
          <w:sz w:val="36"/>
          <w:szCs w:val="36"/>
        </w:rPr>
      </w:pPr>
      <w:r>
        <w:rPr>
          <w:rFonts w:hint="eastAsia"/>
          <w:b/>
          <w:sz w:val="36"/>
          <w:szCs w:val="36"/>
        </w:rPr>
        <w:t>关于部分限售股份上市流通的提示性公告</w:t>
      </w:r>
    </w:p>
    <w:p w14:paraId="29C5A209">
      <w:pPr>
        <w:snapToGrid w:val="0"/>
        <w:spacing w:before="156" w:beforeLines="50" w:line="360" w:lineRule="auto"/>
        <w:ind w:firstLine="422" w:firstLineChars="200"/>
        <w:rPr>
          <w:rFonts w:hint="eastAsia"/>
          <w:b/>
          <w:szCs w:val="21"/>
        </w:rPr>
      </w:pPr>
      <w:r>
        <w:rPr>
          <w:rFonts w:hint="eastAsia"/>
          <w:b/>
          <w:szCs w:val="21"/>
        </w:rPr>
        <w:t>本公司及董事会全体成员保证信息披露的内容真实、准确、完整，没有虚假记载、误导性陈述或者重大遗漏。</w:t>
      </w:r>
    </w:p>
    <w:p w14:paraId="732F2662">
      <w:pPr>
        <w:spacing w:line="360" w:lineRule="auto"/>
        <w:ind w:firstLine="482" w:firstLineChars="200"/>
        <w:rPr>
          <w:rFonts w:hint="eastAsia"/>
          <w:b/>
          <w:sz w:val="24"/>
          <w:szCs w:val="24"/>
        </w:rPr>
      </w:pPr>
      <w:r>
        <w:rPr>
          <w:rFonts w:hint="eastAsia"/>
          <w:b/>
          <w:sz w:val="24"/>
          <w:szCs w:val="24"/>
        </w:rPr>
        <w:t>重要内容提示：</w:t>
      </w:r>
    </w:p>
    <w:p w14:paraId="19BF1503">
      <w:pPr>
        <w:adjustRightInd w:val="0"/>
        <w:snapToGrid w:val="0"/>
        <w:spacing w:line="360" w:lineRule="auto"/>
        <w:ind w:firstLine="480" w:firstLineChars="200"/>
        <w:rPr>
          <w:rFonts w:hint="eastAsia"/>
          <w:sz w:val="24"/>
          <w:szCs w:val="24"/>
        </w:rPr>
      </w:pPr>
      <w:r>
        <w:rPr>
          <w:rFonts w:hint="eastAsia"/>
          <w:sz w:val="24"/>
          <w:szCs w:val="24"/>
        </w:rPr>
        <w:t>1</w:t>
      </w:r>
      <w:r>
        <w:rPr>
          <w:rFonts w:hint="eastAsia"/>
          <w:sz w:val="24"/>
          <w:szCs w:val="24"/>
          <w:lang w:val="en-US" w:eastAsia="zh-CN"/>
        </w:rPr>
        <w:t>.</w:t>
      </w:r>
      <w:r>
        <w:rPr>
          <w:rFonts w:hint="eastAsia"/>
          <w:sz w:val="24"/>
          <w:szCs w:val="24"/>
        </w:rPr>
        <w:t>本次解除限售的流通股涉及股东</w:t>
      </w:r>
      <w:r>
        <w:rPr>
          <w:rFonts w:hint="eastAsia"/>
          <w:sz w:val="24"/>
          <w:szCs w:val="24"/>
          <w:lang w:val="en-US" w:eastAsia="zh-CN"/>
        </w:rPr>
        <w:t>25</w:t>
      </w:r>
      <w:r>
        <w:rPr>
          <w:rFonts w:hint="eastAsia"/>
          <w:sz w:val="24"/>
          <w:szCs w:val="24"/>
        </w:rPr>
        <w:t>名，解除限售股份数量为43,393,059股，占公司总股本的4.5898%；</w:t>
      </w:r>
    </w:p>
    <w:p w14:paraId="5C66A40E">
      <w:pPr>
        <w:adjustRightInd w:val="0"/>
        <w:snapToGrid w:val="0"/>
        <w:spacing w:line="360" w:lineRule="auto"/>
        <w:ind w:firstLine="480" w:firstLineChars="200"/>
        <w:rPr>
          <w:rFonts w:hint="eastAsia" w:eastAsia="宋体"/>
          <w:b w:val="0"/>
          <w:bCs w:val="0"/>
          <w:sz w:val="24"/>
          <w:szCs w:val="24"/>
          <w:highlight w:val="none"/>
          <w:lang w:eastAsia="zh-CN"/>
        </w:rPr>
      </w:pPr>
      <w:r>
        <w:rPr>
          <w:sz w:val="24"/>
          <w:szCs w:val="24"/>
          <w:highlight w:val="none"/>
        </w:rPr>
        <w:t>2</w:t>
      </w:r>
      <w:r>
        <w:rPr>
          <w:rFonts w:hint="eastAsia"/>
          <w:sz w:val="24"/>
          <w:szCs w:val="24"/>
          <w:highlight w:val="none"/>
          <w:lang w:val="en-US" w:eastAsia="zh-CN"/>
        </w:rPr>
        <w:t>.</w:t>
      </w:r>
      <w:r>
        <w:rPr>
          <w:rFonts w:hint="eastAsia"/>
          <w:sz w:val="24"/>
          <w:szCs w:val="24"/>
          <w:highlight w:val="none"/>
        </w:rPr>
        <w:t>本次解除限售的流通股上市日期</w:t>
      </w:r>
      <w:r>
        <w:rPr>
          <w:rFonts w:hint="eastAsia"/>
          <w:b w:val="0"/>
          <w:bCs w:val="0"/>
          <w:sz w:val="24"/>
          <w:szCs w:val="24"/>
          <w:highlight w:val="none"/>
        </w:rPr>
        <w:t>为202</w:t>
      </w:r>
      <w:r>
        <w:rPr>
          <w:rFonts w:hint="eastAsia"/>
          <w:b w:val="0"/>
          <w:bCs w:val="0"/>
          <w:sz w:val="24"/>
          <w:szCs w:val="24"/>
          <w:highlight w:val="none"/>
          <w:lang w:val="en-US" w:eastAsia="zh-CN"/>
        </w:rPr>
        <w:t>5</w:t>
      </w:r>
      <w:r>
        <w:rPr>
          <w:rFonts w:hint="eastAsia"/>
          <w:b w:val="0"/>
          <w:bCs w:val="0"/>
          <w:sz w:val="24"/>
          <w:szCs w:val="24"/>
          <w:highlight w:val="none"/>
        </w:rPr>
        <w:t>年</w:t>
      </w:r>
      <w:r>
        <w:rPr>
          <w:rFonts w:hint="eastAsia"/>
          <w:b w:val="0"/>
          <w:bCs w:val="0"/>
          <w:sz w:val="24"/>
          <w:szCs w:val="24"/>
          <w:highlight w:val="none"/>
          <w:lang w:val="en-US" w:eastAsia="zh-CN"/>
        </w:rPr>
        <w:t>7</w:t>
      </w:r>
      <w:r>
        <w:rPr>
          <w:rFonts w:hint="eastAsia"/>
          <w:b w:val="0"/>
          <w:bCs w:val="0"/>
          <w:sz w:val="24"/>
          <w:szCs w:val="24"/>
          <w:highlight w:val="none"/>
        </w:rPr>
        <w:t>月</w:t>
      </w:r>
      <w:r>
        <w:rPr>
          <w:rFonts w:hint="eastAsia"/>
          <w:b w:val="0"/>
          <w:bCs w:val="0"/>
          <w:sz w:val="24"/>
          <w:szCs w:val="24"/>
          <w:highlight w:val="none"/>
          <w:lang w:val="en-US" w:eastAsia="zh-CN"/>
        </w:rPr>
        <w:t>1</w:t>
      </w:r>
      <w:bookmarkStart w:id="0" w:name="_GoBack"/>
      <w:bookmarkEnd w:id="0"/>
      <w:r>
        <w:rPr>
          <w:rFonts w:hint="eastAsia"/>
          <w:b w:val="0"/>
          <w:bCs w:val="0"/>
          <w:sz w:val="24"/>
          <w:szCs w:val="24"/>
          <w:highlight w:val="none"/>
        </w:rPr>
        <w:t>日</w:t>
      </w:r>
      <w:r>
        <w:rPr>
          <w:rFonts w:hint="eastAsia"/>
          <w:b w:val="0"/>
          <w:bCs w:val="0"/>
          <w:sz w:val="24"/>
          <w:szCs w:val="24"/>
          <w:highlight w:val="none"/>
          <w:lang w:eastAsia="zh-CN"/>
        </w:rPr>
        <w:t>。</w:t>
      </w:r>
    </w:p>
    <w:p w14:paraId="40B46553">
      <w:pPr>
        <w:adjustRightInd w:val="0"/>
        <w:snapToGrid w:val="0"/>
        <w:spacing w:before="156" w:beforeLines="50" w:line="360" w:lineRule="auto"/>
        <w:ind w:firstLine="482" w:firstLineChars="200"/>
        <w:outlineLvl w:val="0"/>
        <w:rPr>
          <w:b/>
          <w:color w:val="000000"/>
          <w:sz w:val="24"/>
          <w:szCs w:val="24"/>
        </w:rPr>
      </w:pPr>
      <w:r>
        <w:rPr>
          <w:rFonts w:hint="eastAsia"/>
          <w:b/>
          <w:color w:val="000000"/>
          <w:sz w:val="24"/>
          <w:szCs w:val="24"/>
        </w:rPr>
        <w:t>一、本次解除限售股份的基本情况</w:t>
      </w:r>
    </w:p>
    <w:p w14:paraId="2075F8C8">
      <w:pPr>
        <w:adjustRightInd w:val="0"/>
        <w:snapToGrid w:val="0"/>
        <w:spacing w:line="360" w:lineRule="auto"/>
        <w:ind w:firstLine="480" w:firstLineChars="200"/>
        <w:rPr>
          <w:rFonts w:hint="eastAsia"/>
          <w:color w:val="000000"/>
          <w:sz w:val="24"/>
          <w:szCs w:val="24"/>
        </w:rPr>
      </w:pPr>
      <w:r>
        <w:rPr>
          <w:rFonts w:hint="eastAsia"/>
          <w:color w:val="000000"/>
          <w:sz w:val="24"/>
          <w:szCs w:val="24"/>
        </w:rPr>
        <w:t>经中国证券监督管理委员会（以下简称“中国证监会”）《关于核准中国大连国际合作（集团）股份有限公司向中广核核技术应用有限公司等发行股份购买资产并募集配套资金的批复》（证监许可</w:t>
      </w:r>
      <w:r>
        <w:rPr>
          <w:rFonts w:hint="eastAsia" w:ascii="宋体" w:hAnsi="宋体"/>
          <w:color w:val="000000"/>
          <w:sz w:val="24"/>
          <w:szCs w:val="24"/>
        </w:rPr>
        <w:t>[</w:t>
      </w:r>
      <w:r>
        <w:rPr>
          <w:rFonts w:hint="eastAsia"/>
          <w:color w:val="000000"/>
          <w:sz w:val="24"/>
          <w:szCs w:val="24"/>
        </w:rPr>
        <w:t>2016</w:t>
      </w:r>
      <w:r>
        <w:rPr>
          <w:rFonts w:hint="eastAsia" w:ascii="宋体" w:hAnsi="宋体"/>
          <w:color w:val="000000"/>
          <w:sz w:val="24"/>
          <w:szCs w:val="24"/>
        </w:rPr>
        <w:t>]</w:t>
      </w:r>
      <w:r>
        <w:rPr>
          <w:rFonts w:hint="eastAsia"/>
          <w:color w:val="000000"/>
          <w:sz w:val="24"/>
          <w:szCs w:val="24"/>
        </w:rPr>
        <w:t>2412号）核准，中广核核技术发展股份有限公司（原“中国大连国际合作（集团）股份有限公司”，以下简称</w:t>
      </w:r>
      <w:r>
        <w:rPr>
          <w:rFonts w:hint="eastAsia"/>
          <w:color w:val="000000"/>
          <w:sz w:val="24"/>
          <w:szCs w:val="24"/>
          <w:lang w:eastAsia="zh-CN"/>
        </w:rPr>
        <w:t>“</w:t>
      </w:r>
      <w:r>
        <w:rPr>
          <w:rFonts w:hint="eastAsia"/>
          <w:color w:val="000000"/>
          <w:sz w:val="24"/>
          <w:szCs w:val="24"/>
          <w:lang w:val="en-US" w:eastAsia="zh-CN"/>
        </w:rPr>
        <w:t>中广核技</w:t>
      </w:r>
      <w:r>
        <w:rPr>
          <w:rFonts w:hint="eastAsia"/>
          <w:color w:val="000000"/>
          <w:sz w:val="24"/>
          <w:szCs w:val="24"/>
          <w:lang w:eastAsia="zh-CN"/>
        </w:rPr>
        <w:t>”、</w:t>
      </w:r>
      <w:r>
        <w:rPr>
          <w:rFonts w:hint="eastAsia"/>
          <w:color w:val="000000"/>
          <w:sz w:val="24"/>
          <w:szCs w:val="24"/>
        </w:rPr>
        <w:t>“公司”、“上市公司”或“大连国际”）向中广核核技术应用有限公司（以下简称“中广核核技术”）等四十六名交易对方发行</w:t>
      </w:r>
      <w:r>
        <w:rPr>
          <w:color w:val="000000"/>
          <w:sz w:val="24"/>
          <w:szCs w:val="24"/>
        </w:rPr>
        <w:t>478,993,166</w:t>
      </w:r>
      <w:r>
        <w:rPr>
          <w:rFonts w:hint="eastAsia"/>
          <w:color w:val="000000"/>
          <w:sz w:val="24"/>
          <w:szCs w:val="24"/>
        </w:rPr>
        <w:t>股人民币普通股（A股）购买资产，同时向七家配套融资方非公开发行不超过267,686,421股人民币普通股（A股）募集本次发行股份购买资产的配套资金（以下简称“本次重大资产重组”或“本次交易”）。</w:t>
      </w:r>
    </w:p>
    <w:p w14:paraId="26501C68">
      <w:pPr>
        <w:adjustRightInd w:val="0"/>
        <w:snapToGrid w:val="0"/>
        <w:spacing w:line="360" w:lineRule="auto"/>
        <w:ind w:firstLine="480" w:firstLineChars="200"/>
        <w:rPr>
          <w:color w:val="000000"/>
          <w:sz w:val="24"/>
          <w:szCs w:val="24"/>
        </w:rPr>
      </w:pPr>
      <w:r>
        <w:rPr>
          <w:color w:val="000000"/>
          <w:sz w:val="24"/>
          <w:szCs w:val="24"/>
        </w:rPr>
        <w:t>本次重大资产重组发行股份购买资产新增股份和发行股份募集配套资金新增股份共计746,679,587股人民币普通股（A股）已于2017年1月25日在深圳证券交易所上市交易。详情参见公司于2017年1月24日在巨潮资讯网（www.cninfo.com.cn）披露的《中国大连国际合作（集团）股份有限公司发行股份购买资产并募集配套资金暨关联交易实施情况报告书暨新增股份上市公告书》等相关公告。</w:t>
      </w:r>
    </w:p>
    <w:p w14:paraId="730D4F0B">
      <w:pPr>
        <w:adjustRightInd w:val="0"/>
        <w:snapToGrid w:val="0"/>
        <w:spacing w:line="360" w:lineRule="auto"/>
        <w:ind w:firstLine="480" w:firstLineChars="200"/>
        <w:rPr>
          <w:rFonts w:hint="eastAsia"/>
          <w:color w:val="000000"/>
          <w:sz w:val="24"/>
          <w:szCs w:val="24"/>
        </w:rPr>
      </w:pPr>
      <w:r>
        <w:rPr>
          <w:rFonts w:hint="eastAsia"/>
          <w:color w:val="000000"/>
          <w:sz w:val="24"/>
          <w:szCs w:val="24"/>
        </w:rPr>
        <w:t>本次有限售条件流通股发行后，公司未发生派送股票红利、公积金转增导致股本数量变化事项。</w:t>
      </w:r>
    </w:p>
    <w:p w14:paraId="3611A6F2">
      <w:pPr>
        <w:adjustRightInd w:val="0"/>
        <w:snapToGrid w:val="0"/>
        <w:spacing w:line="360" w:lineRule="auto"/>
        <w:ind w:firstLine="480" w:firstLineChars="200"/>
        <w:rPr>
          <w:rFonts w:hint="eastAsia"/>
          <w:color w:val="000000"/>
          <w:sz w:val="24"/>
          <w:szCs w:val="24"/>
        </w:rPr>
      </w:pPr>
      <w:r>
        <w:rPr>
          <w:rFonts w:hint="eastAsia"/>
          <w:color w:val="000000"/>
          <w:sz w:val="24"/>
          <w:szCs w:val="24"/>
        </w:rPr>
        <w:t>2020年4月10日，经股东向公司申请，公司为部分股东办理了解除限售业务，涉及股东34名，股份数量为383,679,136股，占公司总股本的40.58%，具体情况可参见2020年4月8日刊登在巨潮资讯网披露的《关于部分限售股份上市流通的提示性公告》（公告编号：2020-032）。</w:t>
      </w:r>
    </w:p>
    <w:p w14:paraId="690B11C3">
      <w:pPr>
        <w:adjustRightInd w:val="0"/>
        <w:snapToGrid w:val="0"/>
        <w:spacing w:line="360" w:lineRule="auto"/>
        <w:ind w:firstLine="480" w:firstLineChars="200"/>
        <w:rPr>
          <w:rFonts w:hint="eastAsia"/>
          <w:color w:val="000000"/>
          <w:sz w:val="24"/>
          <w:szCs w:val="24"/>
        </w:rPr>
      </w:pPr>
      <w:r>
        <w:rPr>
          <w:rFonts w:hint="eastAsia"/>
          <w:color w:val="000000"/>
          <w:sz w:val="24"/>
          <w:szCs w:val="24"/>
        </w:rPr>
        <w:t>2021年1月27日，经股东向公司申请，公司为部分股东办理了解除限售业务，涉及股东11名，解除限售的流通股数量为8,764,281股，占公司总股本的0.9270%，具体情况可参见2021年1月22日刊登在巨潮资讯网披露的《关于部分限售股份上市流通的提示性公告》（公告编号：2021-003）。</w:t>
      </w:r>
    </w:p>
    <w:p w14:paraId="197DC4ED">
      <w:pPr>
        <w:adjustRightInd w:val="0"/>
        <w:snapToGrid w:val="0"/>
        <w:spacing w:line="360" w:lineRule="auto"/>
        <w:ind w:firstLine="480" w:firstLineChars="200"/>
        <w:rPr>
          <w:rFonts w:hint="eastAsia"/>
          <w:color w:val="000000"/>
          <w:sz w:val="24"/>
          <w:szCs w:val="24"/>
        </w:rPr>
      </w:pPr>
      <w:r>
        <w:rPr>
          <w:rFonts w:hint="eastAsia"/>
          <w:color w:val="000000"/>
          <w:sz w:val="24"/>
          <w:szCs w:val="24"/>
        </w:rPr>
        <w:t>2021年6月28日，经股东向公司申请，公司为部分股东办理了解除限售业务，涉及股东12名，解除限售的流通股数量为28,018,700股，占公司总股本的2.9636%，具体情况可参见2021年6月24日刊登在巨潮资讯网披露的《关于部分限售股份上市流通的提示性公告》（公告编号：2021-037）。</w:t>
      </w:r>
    </w:p>
    <w:p w14:paraId="48FE89FF">
      <w:pPr>
        <w:adjustRightInd w:val="0"/>
        <w:snapToGrid w:val="0"/>
        <w:spacing w:line="360" w:lineRule="auto"/>
        <w:ind w:firstLine="480" w:firstLineChars="200"/>
        <w:rPr>
          <w:rFonts w:hint="eastAsia"/>
          <w:color w:val="000000"/>
          <w:sz w:val="24"/>
          <w:szCs w:val="24"/>
        </w:rPr>
      </w:pPr>
      <w:r>
        <w:rPr>
          <w:rFonts w:hint="eastAsia"/>
          <w:color w:val="000000"/>
          <w:sz w:val="24"/>
          <w:szCs w:val="24"/>
        </w:rPr>
        <w:t>2021年9月23日，经股东向公司申请，公司为部分股东办理了解除限售业务，涉及股东5名，解除限售的流通股数量为42,671,092股，占公司总股本的4.5134%，具体情况可参见2021年9月18日刊登在巨潮资讯网披露的《关于部分限售股份上市流通的提示性公告》（公告编号：2021-048）。</w:t>
      </w:r>
    </w:p>
    <w:p w14:paraId="2F84B02F">
      <w:pPr>
        <w:adjustRightInd w:val="0"/>
        <w:snapToGrid w:val="0"/>
        <w:spacing w:line="360" w:lineRule="auto"/>
        <w:ind w:firstLine="480" w:firstLineChars="200"/>
        <w:rPr>
          <w:rFonts w:hint="eastAsia"/>
          <w:color w:val="000000"/>
          <w:sz w:val="24"/>
          <w:szCs w:val="24"/>
        </w:rPr>
      </w:pPr>
      <w:r>
        <w:rPr>
          <w:rFonts w:hint="eastAsia"/>
          <w:color w:val="000000"/>
          <w:sz w:val="24"/>
          <w:szCs w:val="24"/>
        </w:rPr>
        <w:t>202</w:t>
      </w:r>
      <w:r>
        <w:rPr>
          <w:rFonts w:hint="eastAsia"/>
          <w:color w:val="000000"/>
          <w:sz w:val="24"/>
          <w:szCs w:val="24"/>
          <w:lang w:val="en-US" w:eastAsia="zh-CN"/>
        </w:rPr>
        <w:t>2</w:t>
      </w:r>
      <w:r>
        <w:rPr>
          <w:rFonts w:hint="eastAsia"/>
          <w:color w:val="000000"/>
          <w:sz w:val="24"/>
          <w:szCs w:val="24"/>
        </w:rPr>
        <w:t>年</w:t>
      </w:r>
      <w:r>
        <w:rPr>
          <w:rFonts w:hint="eastAsia"/>
          <w:color w:val="000000"/>
          <w:sz w:val="24"/>
          <w:szCs w:val="24"/>
          <w:lang w:val="en-US" w:eastAsia="zh-CN"/>
        </w:rPr>
        <w:t>7</w:t>
      </w:r>
      <w:r>
        <w:rPr>
          <w:rFonts w:hint="eastAsia"/>
          <w:color w:val="000000"/>
          <w:sz w:val="24"/>
          <w:szCs w:val="24"/>
        </w:rPr>
        <w:t>月2</w:t>
      </w:r>
      <w:r>
        <w:rPr>
          <w:rFonts w:hint="eastAsia"/>
          <w:color w:val="000000"/>
          <w:sz w:val="24"/>
          <w:szCs w:val="24"/>
          <w:lang w:val="en-US" w:eastAsia="zh-CN"/>
        </w:rPr>
        <w:t>2</w:t>
      </w:r>
      <w:r>
        <w:rPr>
          <w:rFonts w:hint="eastAsia"/>
          <w:color w:val="000000"/>
          <w:sz w:val="24"/>
          <w:szCs w:val="24"/>
        </w:rPr>
        <w:t>日，经股东向公司申请，公司为部分股东办理了解除限售业务，涉及股东15名，解除限售股份数量为4,807,064股，占公司总股本的0.5085%</w:t>
      </w:r>
      <w:r>
        <w:rPr>
          <w:rFonts w:hint="eastAsia"/>
          <w:color w:val="000000"/>
          <w:sz w:val="24"/>
          <w:szCs w:val="24"/>
          <w:lang w:eastAsia="zh-CN"/>
        </w:rPr>
        <w:t>。</w:t>
      </w:r>
      <w:r>
        <w:rPr>
          <w:rFonts w:hint="eastAsia"/>
          <w:color w:val="000000"/>
          <w:sz w:val="24"/>
          <w:szCs w:val="24"/>
        </w:rPr>
        <w:t>具体情况可参见202</w:t>
      </w:r>
      <w:r>
        <w:rPr>
          <w:rFonts w:hint="eastAsia"/>
          <w:color w:val="000000"/>
          <w:sz w:val="24"/>
          <w:szCs w:val="24"/>
          <w:lang w:val="en-US" w:eastAsia="zh-CN"/>
        </w:rPr>
        <w:t>2</w:t>
      </w:r>
      <w:r>
        <w:rPr>
          <w:rFonts w:hint="eastAsia"/>
          <w:color w:val="000000"/>
          <w:sz w:val="24"/>
          <w:szCs w:val="24"/>
        </w:rPr>
        <w:t>年</w:t>
      </w:r>
      <w:r>
        <w:rPr>
          <w:rFonts w:hint="eastAsia"/>
          <w:color w:val="000000"/>
          <w:sz w:val="24"/>
          <w:szCs w:val="24"/>
          <w:lang w:val="en-US" w:eastAsia="zh-CN"/>
        </w:rPr>
        <w:t>7</w:t>
      </w:r>
      <w:r>
        <w:rPr>
          <w:rFonts w:hint="eastAsia"/>
          <w:color w:val="000000"/>
          <w:sz w:val="24"/>
          <w:szCs w:val="24"/>
        </w:rPr>
        <w:t>月</w:t>
      </w:r>
      <w:r>
        <w:rPr>
          <w:rFonts w:hint="eastAsia"/>
          <w:color w:val="000000"/>
          <w:sz w:val="24"/>
          <w:szCs w:val="24"/>
          <w:lang w:val="en-US" w:eastAsia="zh-CN"/>
        </w:rPr>
        <w:t>20</w:t>
      </w:r>
      <w:r>
        <w:rPr>
          <w:rFonts w:hint="eastAsia"/>
          <w:color w:val="000000"/>
          <w:sz w:val="24"/>
          <w:szCs w:val="24"/>
        </w:rPr>
        <w:t>日刊登在巨潮资讯网披露的《关于部分限售股份上市流通的提示性公告》（公告编号：202</w:t>
      </w:r>
      <w:r>
        <w:rPr>
          <w:rFonts w:hint="eastAsia"/>
          <w:color w:val="000000"/>
          <w:sz w:val="24"/>
          <w:szCs w:val="24"/>
          <w:lang w:val="en-US" w:eastAsia="zh-CN"/>
        </w:rPr>
        <w:t>2</w:t>
      </w:r>
      <w:r>
        <w:rPr>
          <w:rFonts w:hint="eastAsia"/>
          <w:color w:val="000000"/>
          <w:sz w:val="24"/>
          <w:szCs w:val="24"/>
        </w:rPr>
        <w:t>-04</w:t>
      </w:r>
      <w:r>
        <w:rPr>
          <w:rFonts w:hint="eastAsia"/>
          <w:color w:val="000000"/>
          <w:sz w:val="24"/>
          <w:szCs w:val="24"/>
          <w:lang w:val="en-US" w:eastAsia="zh-CN"/>
        </w:rPr>
        <w:t>3</w:t>
      </w:r>
      <w:r>
        <w:rPr>
          <w:rFonts w:hint="eastAsia"/>
          <w:color w:val="000000"/>
          <w:sz w:val="24"/>
          <w:szCs w:val="24"/>
        </w:rPr>
        <w:t>）。</w:t>
      </w:r>
    </w:p>
    <w:p w14:paraId="2A0E0EF4">
      <w:pPr>
        <w:adjustRightInd w:val="0"/>
        <w:snapToGrid w:val="0"/>
        <w:spacing w:line="360" w:lineRule="auto"/>
        <w:ind w:firstLine="480" w:firstLineChars="200"/>
        <w:rPr>
          <w:rFonts w:hint="eastAsia"/>
          <w:color w:val="000000"/>
          <w:sz w:val="24"/>
          <w:szCs w:val="24"/>
          <w:lang w:eastAsia="zh-CN"/>
        </w:rPr>
      </w:pPr>
      <w:r>
        <w:rPr>
          <w:rFonts w:hint="eastAsia"/>
          <w:color w:val="000000"/>
          <w:sz w:val="24"/>
          <w:szCs w:val="24"/>
        </w:rPr>
        <w:t>2024年6月5日</w:t>
      </w:r>
      <w:r>
        <w:rPr>
          <w:rFonts w:hint="eastAsia"/>
          <w:color w:val="000000"/>
          <w:sz w:val="24"/>
          <w:szCs w:val="24"/>
          <w:lang w:eastAsia="zh-CN"/>
        </w:rPr>
        <w:t>，经股东向公司申请，公司为部分股东办理了解除限售业务，涉及股东</w:t>
      </w:r>
      <w:r>
        <w:rPr>
          <w:rFonts w:hint="eastAsia"/>
          <w:color w:val="000000"/>
          <w:sz w:val="24"/>
          <w:szCs w:val="24"/>
          <w:lang w:val="en-US" w:eastAsia="zh-CN"/>
        </w:rPr>
        <w:t>23</w:t>
      </w:r>
      <w:r>
        <w:rPr>
          <w:rFonts w:hint="eastAsia"/>
          <w:color w:val="000000"/>
          <w:sz w:val="24"/>
          <w:szCs w:val="24"/>
          <w:lang w:eastAsia="zh-CN"/>
        </w:rPr>
        <w:t>名，解除限售股份数量为14,349,358股，占公司总股本的1.5178%。具体情况可参见202</w:t>
      </w:r>
      <w:r>
        <w:rPr>
          <w:rFonts w:hint="eastAsia"/>
          <w:color w:val="000000"/>
          <w:sz w:val="24"/>
          <w:szCs w:val="24"/>
          <w:lang w:val="en-US" w:eastAsia="zh-CN"/>
        </w:rPr>
        <w:t>4</w:t>
      </w:r>
      <w:r>
        <w:rPr>
          <w:rFonts w:hint="eastAsia"/>
          <w:color w:val="000000"/>
          <w:sz w:val="24"/>
          <w:szCs w:val="24"/>
          <w:lang w:eastAsia="zh-CN"/>
        </w:rPr>
        <w:t>年</w:t>
      </w:r>
      <w:r>
        <w:rPr>
          <w:rFonts w:hint="eastAsia"/>
          <w:color w:val="000000"/>
          <w:sz w:val="24"/>
          <w:szCs w:val="24"/>
          <w:lang w:val="en-US" w:eastAsia="zh-CN"/>
        </w:rPr>
        <w:t>6</w:t>
      </w:r>
      <w:r>
        <w:rPr>
          <w:rFonts w:hint="eastAsia"/>
          <w:color w:val="000000"/>
          <w:sz w:val="24"/>
          <w:szCs w:val="24"/>
          <w:lang w:eastAsia="zh-CN"/>
        </w:rPr>
        <w:t>月</w:t>
      </w:r>
      <w:r>
        <w:rPr>
          <w:rFonts w:hint="eastAsia"/>
          <w:color w:val="000000"/>
          <w:sz w:val="24"/>
          <w:szCs w:val="24"/>
          <w:lang w:val="en-US" w:eastAsia="zh-CN"/>
        </w:rPr>
        <w:t>3</w:t>
      </w:r>
      <w:r>
        <w:rPr>
          <w:rFonts w:hint="eastAsia"/>
          <w:color w:val="000000"/>
          <w:sz w:val="24"/>
          <w:szCs w:val="24"/>
          <w:lang w:eastAsia="zh-CN"/>
        </w:rPr>
        <w:t>日刊登在巨潮资讯网披露的《关于部分限售股份上市流通的提示性公告》（公告编号：2024-037）。</w:t>
      </w:r>
    </w:p>
    <w:p w14:paraId="7156E99B">
      <w:pPr>
        <w:adjustRightInd w:val="0"/>
        <w:snapToGrid w:val="0"/>
        <w:spacing w:line="360" w:lineRule="auto"/>
        <w:ind w:firstLine="480" w:firstLineChars="200"/>
        <w:rPr>
          <w:rFonts w:hint="eastAsia"/>
          <w:color w:val="000000"/>
          <w:sz w:val="24"/>
          <w:szCs w:val="24"/>
          <w:lang w:eastAsia="zh-CN"/>
        </w:rPr>
      </w:pPr>
      <w:r>
        <w:rPr>
          <w:rFonts w:hint="eastAsia"/>
          <w:color w:val="000000"/>
          <w:sz w:val="24"/>
          <w:szCs w:val="24"/>
          <w:lang w:eastAsia="zh-CN"/>
        </w:rPr>
        <w:t>截至本公告披露日，本次重大资产重组交易对方和配套融资方本次发行取得的限售股变动情况如下：</w:t>
      </w:r>
    </w:p>
    <w:tbl>
      <w:tblPr>
        <w:tblStyle w:val="11"/>
        <w:tblW w:w="83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
        <w:gridCol w:w="2152"/>
        <w:gridCol w:w="1463"/>
        <w:gridCol w:w="1462"/>
        <w:gridCol w:w="1425"/>
        <w:gridCol w:w="1375"/>
      </w:tblGrid>
      <w:tr w14:paraId="5F0B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7" w:type="dxa"/>
            <w:vMerge w:val="restart"/>
            <w:tcBorders>
              <w:top w:val="single" w:color="000000" w:sz="8" w:space="0"/>
              <w:left w:val="single" w:color="000000" w:sz="8" w:space="0"/>
              <w:bottom w:val="single" w:color="000000" w:sz="8" w:space="0"/>
              <w:right w:val="single" w:color="000000" w:sz="8" w:space="0"/>
            </w:tcBorders>
            <w:shd w:val="clear" w:color="auto" w:fill="D7D7D7"/>
            <w:vAlign w:val="center"/>
          </w:tcPr>
          <w:p w14:paraId="11CB1FA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152" w:type="dxa"/>
            <w:vMerge w:val="restart"/>
            <w:tcBorders>
              <w:top w:val="single" w:color="000000" w:sz="8" w:space="0"/>
              <w:left w:val="nil"/>
              <w:bottom w:val="single" w:color="000000" w:sz="8" w:space="0"/>
              <w:right w:val="single" w:color="000000" w:sz="8" w:space="0"/>
            </w:tcBorders>
            <w:shd w:val="clear" w:color="auto" w:fill="D7D7D7"/>
            <w:vAlign w:val="center"/>
          </w:tcPr>
          <w:p w14:paraId="276C5C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股东名称</w:t>
            </w:r>
            <w:r>
              <w:rPr>
                <w:rStyle w:val="34"/>
                <w:rFonts w:eastAsia="宋体"/>
                <w:lang w:val="en-US" w:eastAsia="zh-CN" w:bidi="ar"/>
              </w:rPr>
              <w:t>/</w:t>
            </w:r>
            <w:r>
              <w:rPr>
                <w:rStyle w:val="35"/>
                <w:lang w:val="en-US" w:eastAsia="zh-CN" w:bidi="ar"/>
              </w:rPr>
              <w:t>姓名</w:t>
            </w:r>
          </w:p>
        </w:tc>
        <w:tc>
          <w:tcPr>
            <w:tcW w:w="1463" w:type="dxa"/>
            <w:vMerge w:val="restart"/>
            <w:tcBorders>
              <w:top w:val="single" w:color="000000" w:sz="8" w:space="0"/>
              <w:left w:val="nil"/>
              <w:bottom w:val="single" w:color="000000" w:sz="8" w:space="0"/>
              <w:right w:val="single" w:color="000000" w:sz="8" w:space="0"/>
            </w:tcBorders>
            <w:shd w:val="clear" w:color="auto" w:fill="D7D7D7"/>
            <w:vAlign w:val="center"/>
          </w:tcPr>
          <w:p w14:paraId="7F88D6A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变动前限售股数量（股）</w:t>
            </w:r>
          </w:p>
        </w:tc>
        <w:tc>
          <w:tcPr>
            <w:tcW w:w="2887" w:type="dxa"/>
            <w:gridSpan w:val="2"/>
            <w:tcBorders>
              <w:top w:val="single" w:color="000000" w:sz="8" w:space="0"/>
              <w:left w:val="nil"/>
              <w:bottom w:val="single" w:color="000000" w:sz="8" w:space="0"/>
              <w:right w:val="single" w:color="000000" w:sz="8" w:space="0"/>
            </w:tcBorders>
            <w:shd w:val="clear" w:color="auto" w:fill="D7D7D7"/>
            <w:vAlign w:val="center"/>
          </w:tcPr>
          <w:p w14:paraId="58753C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变动（股）</w:t>
            </w:r>
          </w:p>
        </w:tc>
        <w:tc>
          <w:tcPr>
            <w:tcW w:w="1375" w:type="dxa"/>
            <w:vMerge w:val="restart"/>
            <w:tcBorders>
              <w:top w:val="single" w:color="000000" w:sz="8" w:space="0"/>
              <w:left w:val="nil"/>
              <w:bottom w:val="single" w:color="000000" w:sz="8" w:space="0"/>
              <w:right w:val="single" w:color="000000" w:sz="8" w:space="0"/>
            </w:tcBorders>
            <w:shd w:val="clear" w:color="auto" w:fill="D7D7D7"/>
            <w:vAlign w:val="center"/>
          </w:tcPr>
          <w:p w14:paraId="0E3B8EE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变动后限售股数量（股）</w:t>
            </w:r>
          </w:p>
        </w:tc>
      </w:tr>
      <w:tr w14:paraId="19E58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vMerge w:val="continue"/>
            <w:tcBorders>
              <w:top w:val="single" w:color="000000" w:sz="8" w:space="0"/>
              <w:left w:val="single" w:color="000000" w:sz="8" w:space="0"/>
              <w:bottom w:val="single" w:color="000000" w:sz="8" w:space="0"/>
              <w:right w:val="single" w:color="000000" w:sz="8" w:space="0"/>
            </w:tcBorders>
            <w:shd w:val="clear" w:color="auto" w:fill="D7D7D7"/>
            <w:vAlign w:val="center"/>
          </w:tcPr>
          <w:p w14:paraId="6DEBDAB9">
            <w:pPr>
              <w:jc w:val="center"/>
              <w:rPr>
                <w:rFonts w:hint="eastAsia" w:ascii="宋体" w:hAnsi="宋体" w:eastAsia="宋体" w:cs="宋体"/>
                <w:b/>
                <w:bCs/>
                <w:i w:val="0"/>
                <w:iCs w:val="0"/>
                <w:color w:val="000000"/>
                <w:sz w:val="21"/>
                <w:szCs w:val="21"/>
                <w:u w:val="none"/>
              </w:rPr>
            </w:pPr>
          </w:p>
        </w:tc>
        <w:tc>
          <w:tcPr>
            <w:tcW w:w="2152" w:type="dxa"/>
            <w:vMerge w:val="continue"/>
            <w:tcBorders>
              <w:top w:val="single" w:color="000000" w:sz="8" w:space="0"/>
              <w:left w:val="nil"/>
              <w:bottom w:val="single" w:color="000000" w:sz="8" w:space="0"/>
              <w:right w:val="single" w:color="000000" w:sz="8" w:space="0"/>
            </w:tcBorders>
            <w:shd w:val="clear" w:color="auto" w:fill="D7D7D7"/>
            <w:vAlign w:val="center"/>
          </w:tcPr>
          <w:p w14:paraId="006B4231">
            <w:pPr>
              <w:jc w:val="center"/>
              <w:rPr>
                <w:rFonts w:hint="eastAsia" w:ascii="宋体" w:hAnsi="宋体" w:eastAsia="宋体" w:cs="宋体"/>
                <w:b/>
                <w:bCs/>
                <w:i w:val="0"/>
                <w:iCs w:val="0"/>
                <w:color w:val="000000"/>
                <w:sz w:val="21"/>
                <w:szCs w:val="21"/>
                <w:u w:val="none"/>
              </w:rPr>
            </w:pPr>
          </w:p>
        </w:tc>
        <w:tc>
          <w:tcPr>
            <w:tcW w:w="1463" w:type="dxa"/>
            <w:vMerge w:val="continue"/>
            <w:tcBorders>
              <w:top w:val="single" w:color="000000" w:sz="8" w:space="0"/>
              <w:left w:val="nil"/>
              <w:bottom w:val="single" w:color="000000" w:sz="8" w:space="0"/>
              <w:right w:val="single" w:color="000000" w:sz="8" w:space="0"/>
            </w:tcBorders>
            <w:shd w:val="clear" w:color="auto" w:fill="D7D7D7"/>
            <w:vAlign w:val="center"/>
          </w:tcPr>
          <w:p w14:paraId="7CD074F6">
            <w:pPr>
              <w:jc w:val="center"/>
              <w:rPr>
                <w:rFonts w:hint="eastAsia" w:ascii="宋体" w:hAnsi="宋体" w:eastAsia="宋体" w:cs="宋体"/>
                <w:b/>
                <w:bCs/>
                <w:i w:val="0"/>
                <w:iCs w:val="0"/>
                <w:color w:val="000000"/>
                <w:sz w:val="21"/>
                <w:szCs w:val="21"/>
                <w:u w:val="none"/>
              </w:rPr>
            </w:pPr>
          </w:p>
        </w:tc>
        <w:tc>
          <w:tcPr>
            <w:tcW w:w="1462" w:type="dxa"/>
            <w:tcBorders>
              <w:top w:val="nil"/>
              <w:left w:val="nil"/>
              <w:bottom w:val="single" w:color="000000" w:sz="8" w:space="0"/>
              <w:right w:val="single" w:color="000000" w:sz="8" w:space="0"/>
            </w:tcBorders>
            <w:shd w:val="clear" w:color="auto" w:fill="D7D7D7"/>
            <w:vAlign w:val="center"/>
          </w:tcPr>
          <w:p w14:paraId="5EF7B98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业绩补偿</w:t>
            </w:r>
          </w:p>
        </w:tc>
        <w:tc>
          <w:tcPr>
            <w:tcW w:w="1425" w:type="dxa"/>
            <w:tcBorders>
              <w:top w:val="nil"/>
              <w:left w:val="nil"/>
              <w:bottom w:val="single" w:color="000000" w:sz="8" w:space="0"/>
              <w:right w:val="single" w:color="000000" w:sz="8" w:space="0"/>
            </w:tcBorders>
            <w:shd w:val="clear" w:color="auto" w:fill="D7D7D7"/>
            <w:vAlign w:val="center"/>
          </w:tcPr>
          <w:p w14:paraId="2D4E2E05">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解除限售</w:t>
            </w:r>
          </w:p>
        </w:tc>
        <w:tc>
          <w:tcPr>
            <w:tcW w:w="1375" w:type="dxa"/>
            <w:vMerge w:val="continue"/>
            <w:tcBorders>
              <w:top w:val="single" w:color="000000" w:sz="8" w:space="0"/>
              <w:left w:val="nil"/>
              <w:bottom w:val="single" w:color="000000" w:sz="8" w:space="0"/>
              <w:right w:val="single" w:color="000000" w:sz="8" w:space="0"/>
            </w:tcBorders>
            <w:shd w:val="clear" w:color="auto" w:fill="D7D7D7"/>
            <w:vAlign w:val="center"/>
          </w:tcPr>
          <w:p w14:paraId="1012F9D2">
            <w:pPr>
              <w:jc w:val="center"/>
              <w:rPr>
                <w:rFonts w:hint="eastAsia" w:ascii="宋体" w:hAnsi="宋体" w:eastAsia="宋体" w:cs="宋体"/>
                <w:b/>
                <w:bCs/>
                <w:i w:val="0"/>
                <w:iCs w:val="0"/>
                <w:color w:val="000000"/>
                <w:sz w:val="21"/>
                <w:szCs w:val="21"/>
                <w:u w:val="none"/>
              </w:rPr>
            </w:pPr>
          </w:p>
        </w:tc>
      </w:tr>
      <w:tr w14:paraId="73B5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37B80F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152" w:type="dxa"/>
            <w:tcBorders>
              <w:top w:val="nil"/>
              <w:left w:val="nil"/>
              <w:bottom w:val="single" w:color="000000" w:sz="8" w:space="0"/>
              <w:right w:val="single" w:color="000000" w:sz="8" w:space="0"/>
            </w:tcBorders>
            <w:shd w:val="clear" w:color="auto" w:fill="auto"/>
            <w:noWrap/>
            <w:vAlign w:val="center"/>
          </w:tcPr>
          <w:p w14:paraId="0A22957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中广核核技术</w:t>
            </w:r>
          </w:p>
        </w:tc>
        <w:tc>
          <w:tcPr>
            <w:tcW w:w="1463" w:type="dxa"/>
            <w:tcBorders>
              <w:top w:val="nil"/>
              <w:left w:val="nil"/>
              <w:bottom w:val="single" w:color="000000" w:sz="8" w:space="0"/>
              <w:right w:val="single" w:color="000000" w:sz="8" w:space="0"/>
            </w:tcBorders>
            <w:shd w:val="clear" w:color="auto" w:fill="auto"/>
            <w:noWrap/>
            <w:vAlign w:val="center"/>
          </w:tcPr>
          <w:p w14:paraId="535650C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291,298,528</w:t>
            </w:r>
          </w:p>
        </w:tc>
        <w:tc>
          <w:tcPr>
            <w:tcW w:w="1462" w:type="dxa"/>
            <w:tcBorders>
              <w:top w:val="nil"/>
              <w:left w:val="nil"/>
              <w:bottom w:val="single" w:color="000000" w:sz="8" w:space="0"/>
              <w:right w:val="single" w:color="000000" w:sz="8" w:space="0"/>
            </w:tcBorders>
            <w:shd w:val="clear" w:color="auto" w:fill="auto"/>
            <w:vAlign w:val="center"/>
          </w:tcPr>
          <w:p w14:paraId="7805FB4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-41,236,262</w:t>
            </w:r>
          </w:p>
        </w:tc>
        <w:tc>
          <w:tcPr>
            <w:tcW w:w="1425" w:type="dxa"/>
            <w:tcBorders>
              <w:top w:val="nil"/>
              <w:left w:val="nil"/>
              <w:bottom w:val="single" w:color="000000" w:sz="8" w:space="0"/>
              <w:right w:val="single" w:color="000000" w:sz="8" w:space="0"/>
            </w:tcBorders>
            <w:shd w:val="clear" w:color="auto" w:fill="auto"/>
            <w:vAlign w:val="center"/>
          </w:tcPr>
          <w:p w14:paraId="167DA7C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-221,504,242</w:t>
            </w:r>
          </w:p>
        </w:tc>
        <w:tc>
          <w:tcPr>
            <w:tcW w:w="1375" w:type="dxa"/>
            <w:tcBorders>
              <w:top w:val="nil"/>
              <w:left w:val="nil"/>
              <w:bottom w:val="single" w:color="000000" w:sz="8" w:space="0"/>
              <w:right w:val="single" w:color="000000" w:sz="8" w:space="0"/>
            </w:tcBorders>
            <w:shd w:val="clear" w:color="auto" w:fill="auto"/>
            <w:vAlign w:val="center"/>
          </w:tcPr>
          <w:p w14:paraId="1A19BED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28,558,024</w:t>
            </w:r>
          </w:p>
        </w:tc>
      </w:tr>
      <w:tr w14:paraId="4BED8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7083CD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52" w:type="dxa"/>
            <w:tcBorders>
              <w:top w:val="nil"/>
              <w:left w:val="nil"/>
              <w:bottom w:val="single" w:color="000000" w:sz="8" w:space="0"/>
              <w:right w:val="single" w:color="000000" w:sz="8" w:space="0"/>
            </w:tcBorders>
            <w:shd w:val="clear" w:color="auto" w:fill="auto"/>
            <w:noWrap/>
            <w:vAlign w:val="center"/>
          </w:tcPr>
          <w:p w14:paraId="4BC3E13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陈晓敏</w:t>
            </w:r>
          </w:p>
        </w:tc>
        <w:tc>
          <w:tcPr>
            <w:tcW w:w="1463" w:type="dxa"/>
            <w:tcBorders>
              <w:top w:val="nil"/>
              <w:left w:val="nil"/>
              <w:bottom w:val="single" w:color="000000" w:sz="8" w:space="0"/>
              <w:right w:val="single" w:color="000000" w:sz="8" w:space="0"/>
            </w:tcBorders>
            <w:shd w:val="clear" w:color="auto" w:fill="auto"/>
            <w:noWrap/>
            <w:vAlign w:val="center"/>
          </w:tcPr>
          <w:p w14:paraId="2B8E803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62,423,759</w:t>
            </w:r>
          </w:p>
        </w:tc>
        <w:tc>
          <w:tcPr>
            <w:tcW w:w="1462" w:type="dxa"/>
            <w:tcBorders>
              <w:top w:val="nil"/>
              <w:left w:val="nil"/>
              <w:bottom w:val="single" w:color="000000" w:sz="8" w:space="0"/>
              <w:right w:val="single" w:color="000000" w:sz="8" w:space="0"/>
            </w:tcBorders>
            <w:shd w:val="clear" w:color="auto" w:fill="auto"/>
            <w:vAlign w:val="center"/>
          </w:tcPr>
          <w:p w14:paraId="49F95A4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-19,804,696</w:t>
            </w:r>
          </w:p>
        </w:tc>
        <w:tc>
          <w:tcPr>
            <w:tcW w:w="1425" w:type="dxa"/>
            <w:tcBorders>
              <w:top w:val="nil"/>
              <w:left w:val="nil"/>
              <w:bottom w:val="single" w:color="000000" w:sz="8" w:space="0"/>
              <w:right w:val="single" w:color="000000" w:sz="8" w:space="0"/>
            </w:tcBorders>
            <w:shd w:val="clear" w:color="auto" w:fill="auto"/>
            <w:vAlign w:val="center"/>
          </w:tcPr>
          <w:p w14:paraId="1EEA62C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-31,149,440</w:t>
            </w:r>
          </w:p>
        </w:tc>
        <w:tc>
          <w:tcPr>
            <w:tcW w:w="1375" w:type="dxa"/>
            <w:tcBorders>
              <w:top w:val="nil"/>
              <w:left w:val="nil"/>
              <w:bottom w:val="single" w:color="000000" w:sz="8" w:space="0"/>
              <w:right w:val="single" w:color="000000" w:sz="8" w:space="0"/>
            </w:tcBorders>
            <w:shd w:val="clear" w:color="auto" w:fill="auto"/>
            <w:vAlign w:val="center"/>
          </w:tcPr>
          <w:p w14:paraId="2F83A68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11,469,623</w:t>
            </w:r>
          </w:p>
        </w:tc>
      </w:tr>
      <w:tr w14:paraId="18C13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06B86C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152" w:type="dxa"/>
            <w:tcBorders>
              <w:top w:val="nil"/>
              <w:left w:val="nil"/>
              <w:bottom w:val="single" w:color="000000" w:sz="8" w:space="0"/>
              <w:right w:val="single" w:color="000000" w:sz="8" w:space="0"/>
            </w:tcBorders>
            <w:shd w:val="clear" w:color="auto" w:fill="auto"/>
            <w:noWrap/>
            <w:vAlign w:val="center"/>
          </w:tcPr>
          <w:p w14:paraId="2C2725C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中国大连国际经济技术合作集团有限公司</w:t>
            </w:r>
          </w:p>
        </w:tc>
        <w:tc>
          <w:tcPr>
            <w:tcW w:w="1463" w:type="dxa"/>
            <w:tcBorders>
              <w:top w:val="nil"/>
              <w:left w:val="nil"/>
              <w:bottom w:val="single" w:color="000000" w:sz="8" w:space="0"/>
              <w:right w:val="single" w:color="000000" w:sz="8" w:space="0"/>
            </w:tcBorders>
            <w:shd w:val="clear" w:color="auto" w:fill="auto"/>
            <w:noWrap/>
            <w:vAlign w:val="center"/>
          </w:tcPr>
          <w:p w14:paraId="11019AE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62,141,491</w:t>
            </w:r>
          </w:p>
        </w:tc>
        <w:tc>
          <w:tcPr>
            <w:tcW w:w="1462" w:type="dxa"/>
            <w:tcBorders>
              <w:top w:val="nil"/>
              <w:left w:val="nil"/>
              <w:bottom w:val="single" w:color="000000" w:sz="8" w:space="0"/>
              <w:right w:val="single" w:color="000000" w:sz="8" w:space="0"/>
            </w:tcBorders>
            <w:shd w:val="clear" w:color="auto" w:fill="auto"/>
            <w:vAlign w:val="center"/>
          </w:tcPr>
          <w:p w14:paraId="14E093C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227E085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375" w:type="dxa"/>
            <w:tcBorders>
              <w:top w:val="nil"/>
              <w:left w:val="nil"/>
              <w:bottom w:val="single" w:color="000000" w:sz="8" w:space="0"/>
              <w:right w:val="single" w:color="000000" w:sz="8" w:space="0"/>
            </w:tcBorders>
            <w:shd w:val="clear" w:color="auto" w:fill="auto"/>
            <w:vAlign w:val="center"/>
          </w:tcPr>
          <w:p w14:paraId="09FD955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62,141,491</w:t>
            </w:r>
          </w:p>
        </w:tc>
      </w:tr>
      <w:tr w14:paraId="0982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6616B7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152" w:type="dxa"/>
            <w:tcBorders>
              <w:top w:val="nil"/>
              <w:left w:val="nil"/>
              <w:bottom w:val="single" w:color="000000" w:sz="8" w:space="0"/>
              <w:right w:val="single" w:color="000000" w:sz="8" w:space="0"/>
            </w:tcBorders>
            <w:shd w:val="clear" w:color="auto" w:fill="auto"/>
            <w:noWrap/>
            <w:vAlign w:val="center"/>
          </w:tcPr>
          <w:p w14:paraId="4B04530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深圳中广核一期核技术产业发展基金合伙企业（有限合伙）</w:t>
            </w:r>
          </w:p>
        </w:tc>
        <w:tc>
          <w:tcPr>
            <w:tcW w:w="1463" w:type="dxa"/>
            <w:tcBorders>
              <w:top w:val="nil"/>
              <w:left w:val="nil"/>
              <w:bottom w:val="single" w:color="000000" w:sz="8" w:space="0"/>
              <w:right w:val="single" w:color="000000" w:sz="8" w:space="0"/>
            </w:tcBorders>
            <w:shd w:val="clear" w:color="auto" w:fill="auto"/>
            <w:noWrap/>
            <w:vAlign w:val="center"/>
          </w:tcPr>
          <w:p w14:paraId="0D7F5EB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59,464,627</w:t>
            </w:r>
          </w:p>
        </w:tc>
        <w:tc>
          <w:tcPr>
            <w:tcW w:w="1462" w:type="dxa"/>
            <w:tcBorders>
              <w:top w:val="nil"/>
              <w:left w:val="nil"/>
              <w:bottom w:val="single" w:color="000000" w:sz="8" w:space="0"/>
              <w:right w:val="single" w:color="000000" w:sz="8" w:space="0"/>
            </w:tcBorders>
            <w:shd w:val="clear" w:color="auto" w:fill="auto"/>
            <w:vAlign w:val="center"/>
          </w:tcPr>
          <w:p w14:paraId="740F733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35516FE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-59,464,627</w:t>
            </w:r>
          </w:p>
        </w:tc>
        <w:tc>
          <w:tcPr>
            <w:tcW w:w="1375" w:type="dxa"/>
            <w:tcBorders>
              <w:top w:val="nil"/>
              <w:left w:val="nil"/>
              <w:bottom w:val="single" w:color="000000" w:sz="8" w:space="0"/>
              <w:right w:val="single" w:color="000000" w:sz="8" w:space="0"/>
            </w:tcBorders>
            <w:shd w:val="clear" w:color="auto" w:fill="auto"/>
            <w:vAlign w:val="center"/>
          </w:tcPr>
          <w:p w14:paraId="3AF61E1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127C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6D8D02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152" w:type="dxa"/>
            <w:tcBorders>
              <w:top w:val="nil"/>
              <w:left w:val="nil"/>
              <w:bottom w:val="single" w:color="000000" w:sz="8" w:space="0"/>
              <w:right w:val="single" w:color="000000" w:sz="8" w:space="0"/>
            </w:tcBorders>
            <w:shd w:val="clear" w:color="auto" w:fill="auto"/>
            <w:noWrap/>
            <w:vAlign w:val="center"/>
          </w:tcPr>
          <w:p w14:paraId="0115CF0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江苏达胜热缩材料有限公司</w:t>
            </w:r>
          </w:p>
        </w:tc>
        <w:tc>
          <w:tcPr>
            <w:tcW w:w="1463" w:type="dxa"/>
            <w:tcBorders>
              <w:top w:val="nil"/>
              <w:left w:val="nil"/>
              <w:bottom w:val="single" w:color="000000" w:sz="8" w:space="0"/>
              <w:right w:val="single" w:color="000000" w:sz="8" w:space="0"/>
            </w:tcBorders>
            <w:shd w:val="clear" w:color="auto" w:fill="auto"/>
            <w:noWrap/>
            <w:vAlign w:val="center"/>
          </w:tcPr>
          <w:p w14:paraId="657DB9F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44,376,817</w:t>
            </w:r>
          </w:p>
        </w:tc>
        <w:tc>
          <w:tcPr>
            <w:tcW w:w="1462" w:type="dxa"/>
            <w:tcBorders>
              <w:top w:val="nil"/>
              <w:left w:val="nil"/>
              <w:bottom w:val="single" w:color="000000" w:sz="8" w:space="0"/>
              <w:right w:val="single" w:color="000000" w:sz="8" w:space="0"/>
            </w:tcBorders>
            <w:shd w:val="clear" w:color="auto" w:fill="auto"/>
            <w:vAlign w:val="center"/>
          </w:tcPr>
          <w:p w14:paraId="2A8F4B7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-9,455,623</w:t>
            </w:r>
          </w:p>
        </w:tc>
        <w:tc>
          <w:tcPr>
            <w:tcW w:w="1425" w:type="dxa"/>
            <w:tcBorders>
              <w:top w:val="nil"/>
              <w:left w:val="nil"/>
              <w:bottom w:val="single" w:color="000000" w:sz="8" w:space="0"/>
              <w:right w:val="single" w:color="000000" w:sz="8" w:space="0"/>
            </w:tcBorders>
            <w:shd w:val="clear" w:color="auto" w:fill="auto"/>
            <w:vAlign w:val="center"/>
          </w:tcPr>
          <w:p w14:paraId="70C0762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-26,125,819</w:t>
            </w:r>
          </w:p>
        </w:tc>
        <w:tc>
          <w:tcPr>
            <w:tcW w:w="1375" w:type="dxa"/>
            <w:tcBorders>
              <w:top w:val="nil"/>
              <w:left w:val="nil"/>
              <w:bottom w:val="single" w:color="000000" w:sz="8" w:space="0"/>
              <w:right w:val="single" w:color="000000" w:sz="8" w:space="0"/>
            </w:tcBorders>
            <w:shd w:val="clear" w:color="auto" w:fill="auto"/>
            <w:vAlign w:val="center"/>
          </w:tcPr>
          <w:p w14:paraId="083F0A1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8,795,375</w:t>
            </w:r>
          </w:p>
        </w:tc>
      </w:tr>
      <w:tr w14:paraId="3FC6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48EE21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152" w:type="dxa"/>
            <w:tcBorders>
              <w:top w:val="nil"/>
              <w:left w:val="nil"/>
              <w:bottom w:val="single" w:color="000000" w:sz="8" w:space="0"/>
              <w:right w:val="single" w:color="000000" w:sz="8" w:space="0"/>
            </w:tcBorders>
            <w:shd w:val="clear" w:color="auto" w:fill="auto"/>
            <w:noWrap/>
            <w:vAlign w:val="center"/>
          </w:tcPr>
          <w:p w14:paraId="3B36BFC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魏建良</w:t>
            </w:r>
          </w:p>
        </w:tc>
        <w:tc>
          <w:tcPr>
            <w:tcW w:w="1463" w:type="dxa"/>
            <w:tcBorders>
              <w:top w:val="nil"/>
              <w:left w:val="nil"/>
              <w:bottom w:val="single" w:color="000000" w:sz="8" w:space="0"/>
              <w:right w:val="single" w:color="000000" w:sz="8" w:space="0"/>
            </w:tcBorders>
            <w:shd w:val="clear" w:color="auto" w:fill="auto"/>
            <w:noWrap/>
            <w:vAlign w:val="center"/>
          </w:tcPr>
          <w:p w14:paraId="3BE47A9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22,203,732</w:t>
            </w:r>
          </w:p>
        </w:tc>
        <w:tc>
          <w:tcPr>
            <w:tcW w:w="1462" w:type="dxa"/>
            <w:tcBorders>
              <w:top w:val="nil"/>
              <w:left w:val="nil"/>
              <w:bottom w:val="single" w:color="000000" w:sz="8" w:space="0"/>
              <w:right w:val="single" w:color="000000" w:sz="8" w:space="0"/>
            </w:tcBorders>
            <w:shd w:val="clear" w:color="auto" w:fill="auto"/>
            <w:vAlign w:val="center"/>
          </w:tcPr>
          <w:p w14:paraId="284D5C1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-5,189,972</w:t>
            </w:r>
          </w:p>
        </w:tc>
        <w:tc>
          <w:tcPr>
            <w:tcW w:w="1425" w:type="dxa"/>
            <w:tcBorders>
              <w:top w:val="nil"/>
              <w:left w:val="nil"/>
              <w:bottom w:val="single" w:color="000000" w:sz="8" w:space="0"/>
              <w:right w:val="single" w:color="000000" w:sz="8" w:space="0"/>
            </w:tcBorders>
            <w:shd w:val="clear" w:color="auto" w:fill="auto"/>
            <w:vAlign w:val="center"/>
          </w:tcPr>
          <w:p w14:paraId="61EFC29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-10,787,382</w:t>
            </w:r>
          </w:p>
        </w:tc>
        <w:tc>
          <w:tcPr>
            <w:tcW w:w="1375" w:type="dxa"/>
            <w:tcBorders>
              <w:top w:val="nil"/>
              <w:left w:val="nil"/>
              <w:bottom w:val="single" w:color="000000" w:sz="8" w:space="0"/>
              <w:right w:val="single" w:color="000000" w:sz="8" w:space="0"/>
            </w:tcBorders>
            <w:shd w:val="clear" w:color="auto" w:fill="auto"/>
            <w:vAlign w:val="center"/>
          </w:tcPr>
          <w:p w14:paraId="6BA5941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6,226,378</w:t>
            </w:r>
          </w:p>
        </w:tc>
      </w:tr>
      <w:tr w14:paraId="056A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069483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2152" w:type="dxa"/>
            <w:tcBorders>
              <w:top w:val="nil"/>
              <w:left w:val="nil"/>
              <w:bottom w:val="single" w:color="000000" w:sz="8" w:space="0"/>
              <w:right w:val="single" w:color="000000" w:sz="8" w:space="0"/>
            </w:tcBorders>
            <w:shd w:val="clear" w:color="auto" w:fill="auto"/>
            <w:noWrap/>
            <w:vAlign w:val="center"/>
          </w:tcPr>
          <w:p w14:paraId="5F02D4A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天津君联澄至企业管理咨询合伙企业（有限合伙）</w:t>
            </w:r>
          </w:p>
        </w:tc>
        <w:tc>
          <w:tcPr>
            <w:tcW w:w="1463" w:type="dxa"/>
            <w:tcBorders>
              <w:top w:val="nil"/>
              <w:left w:val="nil"/>
              <w:bottom w:val="single" w:color="000000" w:sz="8" w:space="0"/>
              <w:right w:val="single" w:color="000000" w:sz="8" w:space="0"/>
            </w:tcBorders>
            <w:shd w:val="clear" w:color="auto" w:fill="auto"/>
            <w:noWrap/>
            <w:vAlign w:val="center"/>
          </w:tcPr>
          <w:p w14:paraId="2F84C92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19,120,458</w:t>
            </w:r>
          </w:p>
        </w:tc>
        <w:tc>
          <w:tcPr>
            <w:tcW w:w="1462" w:type="dxa"/>
            <w:tcBorders>
              <w:top w:val="nil"/>
              <w:left w:val="nil"/>
              <w:bottom w:val="single" w:color="000000" w:sz="8" w:space="0"/>
              <w:right w:val="single" w:color="000000" w:sz="8" w:space="0"/>
            </w:tcBorders>
            <w:shd w:val="clear" w:color="auto" w:fill="auto"/>
            <w:vAlign w:val="center"/>
          </w:tcPr>
          <w:p w14:paraId="03F3E99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4F338C1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-19,120,458</w:t>
            </w:r>
          </w:p>
        </w:tc>
        <w:tc>
          <w:tcPr>
            <w:tcW w:w="1375" w:type="dxa"/>
            <w:tcBorders>
              <w:top w:val="nil"/>
              <w:left w:val="nil"/>
              <w:bottom w:val="single" w:color="000000" w:sz="8" w:space="0"/>
              <w:right w:val="single" w:color="000000" w:sz="8" w:space="0"/>
            </w:tcBorders>
            <w:shd w:val="clear" w:color="auto" w:fill="auto"/>
            <w:vAlign w:val="center"/>
          </w:tcPr>
          <w:p w14:paraId="667C303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515A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0D7F18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152" w:type="dxa"/>
            <w:tcBorders>
              <w:top w:val="nil"/>
              <w:left w:val="nil"/>
              <w:bottom w:val="single" w:color="000000" w:sz="8" w:space="0"/>
              <w:right w:val="single" w:color="000000" w:sz="8" w:space="0"/>
            </w:tcBorders>
            <w:shd w:val="clear" w:color="auto" w:fill="auto"/>
            <w:noWrap/>
            <w:vAlign w:val="center"/>
          </w:tcPr>
          <w:p w14:paraId="70C9904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深圳隆徽新能源投资合伙企业（有限合伙）</w:t>
            </w:r>
          </w:p>
        </w:tc>
        <w:tc>
          <w:tcPr>
            <w:tcW w:w="1463" w:type="dxa"/>
            <w:tcBorders>
              <w:top w:val="nil"/>
              <w:left w:val="nil"/>
              <w:bottom w:val="single" w:color="000000" w:sz="8" w:space="0"/>
              <w:right w:val="single" w:color="000000" w:sz="8" w:space="0"/>
            </w:tcBorders>
            <w:shd w:val="clear" w:color="auto" w:fill="auto"/>
            <w:noWrap/>
            <w:vAlign w:val="center"/>
          </w:tcPr>
          <w:p w14:paraId="2145F39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14,340,344</w:t>
            </w:r>
          </w:p>
        </w:tc>
        <w:tc>
          <w:tcPr>
            <w:tcW w:w="1462" w:type="dxa"/>
            <w:tcBorders>
              <w:top w:val="nil"/>
              <w:left w:val="nil"/>
              <w:bottom w:val="single" w:color="000000" w:sz="8" w:space="0"/>
              <w:right w:val="single" w:color="000000" w:sz="8" w:space="0"/>
            </w:tcBorders>
            <w:shd w:val="clear" w:color="auto" w:fill="auto"/>
            <w:vAlign w:val="center"/>
          </w:tcPr>
          <w:p w14:paraId="41583BE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6D0071D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-14,340,344</w:t>
            </w:r>
          </w:p>
        </w:tc>
        <w:tc>
          <w:tcPr>
            <w:tcW w:w="1375" w:type="dxa"/>
            <w:tcBorders>
              <w:top w:val="nil"/>
              <w:left w:val="nil"/>
              <w:bottom w:val="single" w:color="000000" w:sz="8" w:space="0"/>
              <w:right w:val="single" w:color="000000" w:sz="8" w:space="0"/>
            </w:tcBorders>
            <w:shd w:val="clear" w:color="auto" w:fill="auto"/>
            <w:vAlign w:val="center"/>
          </w:tcPr>
          <w:p w14:paraId="06CCCC3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3409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0AE6D2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152" w:type="dxa"/>
            <w:tcBorders>
              <w:top w:val="nil"/>
              <w:left w:val="nil"/>
              <w:bottom w:val="single" w:color="000000" w:sz="8" w:space="0"/>
              <w:right w:val="single" w:color="000000" w:sz="8" w:space="0"/>
            </w:tcBorders>
            <w:shd w:val="clear" w:color="auto" w:fill="auto"/>
            <w:noWrap/>
            <w:vAlign w:val="center"/>
          </w:tcPr>
          <w:p w14:paraId="797D79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单永东</w:t>
            </w:r>
          </w:p>
        </w:tc>
        <w:tc>
          <w:tcPr>
            <w:tcW w:w="1463" w:type="dxa"/>
            <w:tcBorders>
              <w:top w:val="nil"/>
              <w:left w:val="nil"/>
              <w:bottom w:val="single" w:color="000000" w:sz="8" w:space="0"/>
              <w:right w:val="single" w:color="000000" w:sz="8" w:space="0"/>
            </w:tcBorders>
            <w:shd w:val="clear" w:color="auto" w:fill="auto"/>
            <w:noWrap/>
            <w:vAlign w:val="center"/>
          </w:tcPr>
          <w:p w14:paraId="17A9644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13,322,239</w:t>
            </w:r>
          </w:p>
        </w:tc>
        <w:tc>
          <w:tcPr>
            <w:tcW w:w="1462" w:type="dxa"/>
            <w:tcBorders>
              <w:top w:val="nil"/>
              <w:left w:val="nil"/>
              <w:bottom w:val="single" w:color="000000" w:sz="8" w:space="0"/>
              <w:right w:val="single" w:color="000000" w:sz="8" w:space="0"/>
            </w:tcBorders>
            <w:shd w:val="clear" w:color="auto" w:fill="auto"/>
            <w:vAlign w:val="center"/>
          </w:tcPr>
          <w:p w14:paraId="2A5046E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-3,113,983</w:t>
            </w:r>
          </w:p>
        </w:tc>
        <w:tc>
          <w:tcPr>
            <w:tcW w:w="1425" w:type="dxa"/>
            <w:tcBorders>
              <w:top w:val="nil"/>
              <w:left w:val="nil"/>
              <w:bottom w:val="single" w:color="000000" w:sz="8" w:space="0"/>
              <w:right w:val="single" w:color="000000" w:sz="8" w:space="0"/>
            </w:tcBorders>
            <w:shd w:val="clear" w:color="auto" w:fill="auto"/>
            <w:vAlign w:val="center"/>
          </w:tcPr>
          <w:p w14:paraId="27BA9DF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-6,472,429</w:t>
            </w:r>
          </w:p>
        </w:tc>
        <w:tc>
          <w:tcPr>
            <w:tcW w:w="1375" w:type="dxa"/>
            <w:tcBorders>
              <w:top w:val="nil"/>
              <w:left w:val="nil"/>
              <w:bottom w:val="single" w:color="000000" w:sz="8" w:space="0"/>
              <w:right w:val="single" w:color="000000" w:sz="8" w:space="0"/>
            </w:tcBorders>
            <w:shd w:val="clear" w:color="auto" w:fill="auto"/>
            <w:vAlign w:val="center"/>
          </w:tcPr>
          <w:p w14:paraId="131739F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3,735,827</w:t>
            </w:r>
          </w:p>
        </w:tc>
      </w:tr>
      <w:tr w14:paraId="4381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62EE36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152" w:type="dxa"/>
            <w:tcBorders>
              <w:top w:val="nil"/>
              <w:left w:val="nil"/>
              <w:bottom w:val="single" w:color="000000" w:sz="8" w:space="0"/>
              <w:right w:val="single" w:color="000000" w:sz="8" w:space="0"/>
            </w:tcBorders>
            <w:shd w:val="clear" w:color="auto" w:fill="auto"/>
            <w:noWrap/>
            <w:vAlign w:val="center"/>
          </w:tcPr>
          <w:p w14:paraId="53B87B5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丁建宏</w:t>
            </w:r>
          </w:p>
        </w:tc>
        <w:tc>
          <w:tcPr>
            <w:tcW w:w="1463" w:type="dxa"/>
            <w:tcBorders>
              <w:top w:val="nil"/>
              <w:left w:val="nil"/>
              <w:bottom w:val="single" w:color="000000" w:sz="8" w:space="0"/>
              <w:right w:val="single" w:color="000000" w:sz="8" w:space="0"/>
            </w:tcBorders>
            <w:shd w:val="clear" w:color="auto" w:fill="auto"/>
            <w:noWrap/>
            <w:vAlign w:val="center"/>
          </w:tcPr>
          <w:p w14:paraId="6D54FE6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13,322,239</w:t>
            </w:r>
          </w:p>
        </w:tc>
        <w:tc>
          <w:tcPr>
            <w:tcW w:w="1462" w:type="dxa"/>
            <w:tcBorders>
              <w:top w:val="nil"/>
              <w:left w:val="nil"/>
              <w:bottom w:val="single" w:color="000000" w:sz="8" w:space="0"/>
              <w:right w:val="single" w:color="000000" w:sz="8" w:space="0"/>
            </w:tcBorders>
            <w:shd w:val="clear" w:color="auto" w:fill="auto"/>
            <w:vAlign w:val="center"/>
          </w:tcPr>
          <w:p w14:paraId="54B2552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-3,113,983</w:t>
            </w:r>
          </w:p>
        </w:tc>
        <w:tc>
          <w:tcPr>
            <w:tcW w:w="1425" w:type="dxa"/>
            <w:tcBorders>
              <w:top w:val="nil"/>
              <w:left w:val="nil"/>
              <w:bottom w:val="single" w:color="000000" w:sz="8" w:space="0"/>
              <w:right w:val="single" w:color="000000" w:sz="8" w:space="0"/>
            </w:tcBorders>
            <w:shd w:val="clear" w:color="auto" w:fill="auto"/>
            <w:vAlign w:val="center"/>
          </w:tcPr>
          <w:p w14:paraId="3A485D6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-6,472,429</w:t>
            </w:r>
          </w:p>
        </w:tc>
        <w:tc>
          <w:tcPr>
            <w:tcW w:w="1375" w:type="dxa"/>
            <w:tcBorders>
              <w:top w:val="nil"/>
              <w:left w:val="nil"/>
              <w:bottom w:val="single" w:color="000000" w:sz="8" w:space="0"/>
              <w:right w:val="single" w:color="000000" w:sz="8" w:space="0"/>
            </w:tcBorders>
            <w:shd w:val="clear" w:color="auto" w:fill="auto"/>
            <w:vAlign w:val="center"/>
          </w:tcPr>
          <w:p w14:paraId="0BDAAE2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3,735,827</w:t>
            </w:r>
          </w:p>
        </w:tc>
      </w:tr>
      <w:tr w14:paraId="6BD74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75B2E8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2152" w:type="dxa"/>
            <w:tcBorders>
              <w:top w:val="nil"/>
              <w:left w:val="nil"/>
              <w:bottom w:val="single" w:color="000000" w:sz="8" w:space="0"/>
              <w:right w:val="single" w:color="000000" w:sz="8" w:space="0"/>
            </w:tcBorders>
            <w:shd w:val="clear" w:color="auto" w:fill="auto"/>
            <w:noWrap/>
            <w:vAlign w:val="center"/>
          </w:tcPr>
          <w:p w14:paraId="5904E09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中广核资本控股有限公司</w:t>
            </w:r>
          </w:p>
        </w:tc>
        <w:tc>
          <w:tcPr>
            <w:tcW w:w="1463" w:type="dxa"/>
            <w:tcBorders>
              <w:top w:val="nil"/>
              <w:left w:val="nil"/>
              <w:bottom w:val="single" w:color="000000" w:sz="8" w:space="0"/>
              <w:right w:val="single" w:color="000000" w:sz="8" w:space="0"/>
            </w:tcBorders>
            <w:shd w:val="clear" w:color="auto" w:fill="auto"/>
            <w:noWrap/>
            <w:vAlign w:val="center"/>
          </w:tcPr>
          <w:p w14:paraId="00010E6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12,237,093</w:t>
            </w:r>
          </w:p>
        </w:tc>
        <w:tc>
          <w:tcPr>
            <w:tcW w:w="1462" w:type="dxa"/>
            <w:tcBorders>
              <w:top w:val="nil"/>
              <w:left w:val="nil"/>
              <w:bottom w:val="single" w:color="000000" w:sz="8" w:space="0"/>
              <w:right w:val="single" w:color="000000" w:sz="8" w:space="0"/>
            </w:tcBorders>
            <w:shd w:val="clear" w:color="auto" w:fill="auto"/>
            <w:vAlign w:val="center"/>
          </w:tcPr>
          <w:p w14:paraId="1A98017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67A292E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-12,237,093</w:t>
            </w:r>
          </w:p>
        </w:tc>
        <w:tc>
          <w:tcPr>
            <w:tcW w:w="1375" w:type="dxa"/>
            <w:tcBorders>
              <w:top w:val="nil"/>
              <w:left w:val="nil"/>
              <w:bottom w:val="single" w:color="000000" w:sz="8" w:space="0"/>
              <w:right w:val="single" w:color="000000" w:sz="8" w:space="0"/>
            </w:tcBorders>
            <w:shd w:val="clear" w:color="auto" w:fill="auto"/>
            <w:vAlign w:val="center"/>
          </w:tcPr>
          <w:p w14:paraId="2BCDF93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7186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3C88DC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152" w:type="dxa"/>
            <w:tcBorders>
              <w:top w:val="nil"/>
              <w:left w:val="nil"/>
              <w:bottom w:val="single" w:color="000000" w:sz="8" w:space="0"/>
              <w:right w:val="single" w:color="000000" w:sz="8" w:space="0"/>
            </w:tcBorders>
            <w:shd w:val="clear" w:color="auto" w:fill="auto"/>
            <w:noWrap/>
            <w:vAlign w:val="center"/>
          </w:tcPr>
          <w:p w14:paraId="76A191C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苏州德尔福商贸有限公司</w:t>
            </w:r>
          </w:p>
        </w:tc>
        <w:tc>
          <w:tcPr>
            <w:tcW w:w="1463" w:type="dxa"/>
            <w:tcBorders>
              <w:top w:val="nil"/>
              <w:left w:val="nil"/>
              <w:bottom w:val="single" w:color="000000" w:sz="8" w:space="0"/>
              <w:right w:val="single" w:color="000000" w:sz="8" w:space="0"/>
            </w:tcBorders>
            <w:shd w:val="clear" w:color="auto" w:fill="auto"/>
            <w:noWrap/>
            <w:vAlign w:val="center"/>
          </w:tcPr>
          <w:p w14:paraId="5BCF518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11,101,866</w:t>
            </w:r>
          </w:p>
        </w:tc>
        <w:tc>
          <w:tcPr>
            <w:tcW w:w="1462" w:type="dxa"/>
            <w:tcBorders>
              <w:top w:val="nil"/>
              <w:left w:val="nil"/>
              <w:bottom w:val="single" w:color="000000" w:sz="8" w:space="0"/>
              <w:right w:val="single" w:color="000000" w:sz="8" w:space="0"/>
            </w:tcBorders>
            <w:shd w:val="clear" w:color="auto" w:fill="auto"/>
            <w:vAlign w:val="center"/>
          </w:tcPr>
          <w:p w14:paraId="076300F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-2,594,986</w:t>
            </w:r>
          </w:p>
        </w:tc>
        <w:tc>
          <w:tcPr>
            <w:tcW w:w="1425" w:type="dxa"/>
            <w:tcBorders>
              <w:top w:val="nil"/>
              <w:left w:val="nil"/>
              <w:bottom w:val="single" w:color="000000" w:sz="8" w:space="0"/>
              <w:right w:val="single" w:color="000000" w:sz="8" w:space="0"/>
            </w:tcBorders>
            <w:shd w:val="clear" w:color="auto" w:fill="auto"/>
            <w:vAlign w:val="center"/>
          </w:tcPr>
          <w:p w14:paraId="2B7D8E0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-5,393,691</w:t>
            </w:r>
          </w:p>
        </w:tc>
        <w:tc>
          <w:tcPr>
            <w:tcW w:w="1375" w:type="dxa"/>
            <w:tcBorders>
              <w:top w:val="nil"/>
              <w:left w:val="nil"/>
              <w:bottom w:val="single" w:color="000000" w:sz="8" w:space="0"/>
              <w:right w:val="single" w:color="000000" w:sz="8" w:space="0"/>
            </w:tcBorders>
            <w:shd w:val="clear" w:color="auto" w:fill="auto"/>
            <w:vAlign w:val="center"/>
          </w:tcPr>
          <w:p w14:paraId="2A3F4D5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3,113,189</w:t>
            </w:r>
          </w:p>
        </w:tc>
      </w:tr>
      <w:tr w14:paraId="678B0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5A452A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2152" w:type="dxa"/>
            <w:tcBorders>
              <w:top w:val="nil"/>
              <w:left w:val="nil"/>
              <w:bottom w:val="single" w:color="000000" w:sz="8" w:space="0"/>
              <w:right w:val="single" w:color="000000" w:sz="8" w:space="0"/>
            </w:tcBorders>
            <w:shd w:val="clear" w:color="auto" w:fill="auto"/>
            <w:noWrap/>
            <w:vAlign w:val="center"/>
          </w:tcPr>
          <w:p w14:paraId="1F05F7A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黄志杰</w:t>
            </w:r>
          </w:p>
        </w:tc>
        <w:tc>
          <w:tcPr>
            <w:tcW w:w="1463" w:type="dxa"/>
            <w:tcBorders>
              <w:top w:val="nil"/>
              <w:left w:val="nil"/>
              <w:bottom w:val="single" w:color="000000" w:sz="8" w:space="0"/>
              <w:right w:val="single" w:color="000000" w:sz="8" w:space="0"/>
            </w:tcBorders>
            <w:shd w:val="clear" w:color="auto" w:fill="auto"/>
            <w:noWrap/>
            <w:vAlign w:val="center"/>
          </w:tcPr>
          <w:p w14:paraId="14200B1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10,261,590</w:t>
            </w:r>
          </w:p>
        </w:tc>
        <w:tc>
          <w:tcPr>
            <w:tcW w:w="1462" w:type="dxa"/>
            <w:tcBorders>
              <w:top w:val="nil"/>
              <w:left w:val="nil"/>
              <w:bottom w:val="single" w:color="000000" w:sz="8" w:space="0"/>
              <w:right w:val="single" w:color="000000" w:sz="8" w:space="0"/>
            </w:tcBorders>
            <w:shd w:val="clear" w:color="auto" w:fill="auto"/>
            <w:vAlign w:val="center"/>
          </w:tcPr>
          <w:p w14:paraId="746B380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-3,255,615</w:t>
            </w:r>
          </w:p>
        </w:tc>
        <w:tc>
          <w:tcPr>
            <w:tcW w:w="1425" w:type="dxa"/>
            <w:tcBorders>
              <w:top w:val="nil"/>
              <w:left w:val="nil"/>
              <w:bottom w:val="single" w:color="000000" w:sz="8" w:space="0"/>
              <w:right w:val="single" w:color="000000" w:sz="8" w:space="0"/>
            </w:tcBorders>
            <w:shd w:val="clear" w:color="auto" w:fill="auto"/>
            <w:vAlign w:val="center"/>
          </w:tcPr>
          <w:p w14:paraId="20ECA2B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-5,120,531</w:t>
            </w:r>
          </w:p>
        </w:tc>
        <w:tc>
          <w:tcPr>
            <w:tcW w:w="1375" w:type="dxa"/>
            <w:tcBorders>
              <w:top w:val="nil"/>
              <w:left w:val="nil"/>
              <w:bottom w:val="single" w:color="000000" w:sz="8" w:space="0"/>
              <w:right w:val="single" w:color="000000" w:sz="8" w:space="0"/>
            </w:tcBorders>
            <w:shd w:val="clear" w:color="auto" w:fill="auto"/>
            <w:vAlign w:val="center"/>
          </w:tcPr>
          <w:p w14:paraId="6A07BA1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1,885,444</w:t>
            </w:r>
          </w:p>
        </w:tc>
      </w:tr>
      <w:tr w14:paraId="546A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548214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2152" w:type="dxa"/>
            <w:tcBorders>
              <w:top w:val="nil"/>
              <w:left w:val="nil"/>
              <w:bottom w:val="single" w:color="000000" w:sz="8" w:space="0"/>
              <w:right w:val="single" w:color="000000" w:sz="8" w:space="0"/>
            </w:tcBorders>
            <w:shd w:val="clear" w:color="auto" w:fill="auto"/>
            <w:noWrap/>
            <w:vAlign w:val="center"/>
          </w:tcPr>
          <w:p w14:paraId="777FD27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魏兰</w:t>
            </w:r>
          </w:p>
        </w:tc>
        <w:tc>
          <w:tcPr>
            <w:tcW w:w="1463" w:type="dxa"/>
            <w:tcBorders>
              <w:top w:val="nil"/>
              <w:left w:val="nil"/>
              <w:bottom w:val="single" w:color="000000" w:sz="8" w:space="0"/>
              <w:right w:val="single" w:color="000000" w:sz="8" w:space="0"/>
            </w:tcBorders>
            <w:shd w:val="clear" w:color="auto" w:fill="auto"/>
            <w:noWrap/>
            <w:vAlign w:val="center"/>
          </w:tcPr>
          <w:p w14:paraId="044D20D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8,881,492</w:t>
            </w:r>
          </w:p>
        </w:tc>
        <w:tc>
          <w:tcPr>
            <w:tcW w:w="1462" w:type="dxa"/>
            <w:tcBorders>
              <w:top w:val="nil"/>
              <w:left w:val="nil"/>
              <w:bottom w:val="single" w:color="000000" w:sz="8" w:space="0"/>
              <w:right w:val="single" w:color="000000" w:sz="8" w:space="0"/>
            </w:tcBorders>
            <w:shd w:val="clear" w:color="auto" w:fill="auto"/>
            <w:vAlign w:val="center"/>
          </w:tcPr>
          <w:p w14:paraId="3670EE9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-2,075,989</w:t>
            </w:r>
          </w:p>
        </w:tc>
        <w:tc>
          <w:tcPr>
            <w:tcW w:w="1425" w:type="dxa"/>
            <w:tcBorders>
              <w:top w:val="nil"/>
              <w:left w:val="nil"/>
              <w:bottom w:val="single" w:color="000000" w:sz="8" w:space="0"/>
              <w:right w:val="single" w:color="000000" w:sz="8" w:space="0"/>
            </w:tcBorders>
            <w:shd w:val="clear" w:color="auto" w:fill="auto"/>
            <w:vAlign w:val="center"/>
          </w:tcPr>
          <w:p w14:paraId="4533ADF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-4,314,952</w:t>
            </w:r>
          </w:p>
        </w:tc>
        <w:tc>
          <w:tcPr>
            <w:tcW w:w="1375" w:type="dxa"/>
            <w:tcBorders>
              <w:top w:val="nil"/>
              <w:left w:val="nil"/>
              <w:bottom w:val="single" w:color="000000" w:sz="8" w:space="0"/>
              <w:right w:val="single" w:color="000000" w:sz="8" w:space="0"/>
            </w:tcBorders>
            <w:shd w:val="clear" w:color="auto" w:fill="auto"/>
            <w:vAlign w:val="center"/>
          </w:tcPr>
          <w:p w14:paraId="3C9E61C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2,490,551</w:t>
            </w:r>
          </w:p>
        </w:tc>
      </w:tr>
      <w:tr w14:paraId="607E8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40FE59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2152" w:type="dxa"/>
            <w:tcBorders>
              <w:top w:val="nil"/>
              <w:left w:val="nil"/>
              <w:bottom w:val="single" w:color="000000" w:sz="8" w:space="0"/>
              <w:right w:val="single" w:color="000000" w:sz="8" w:space="0"/>
            </w:tcBorders>
            <w:shd w:val="clear" w:color="auto" w:fill="auto"/>
            <w:noWrap/>
            <w:vAlign w:val="center"/>
          </w:tcPr>
          <w:p w14:paraId="4196DD2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徐红岩</w:t>
            </w:r>
          </w:p>
        </w:tc>
        <w:tc>
          <w:tcPr>
            <w:tcW w:w="1463" w:type="dxa"/>
            <w:tcBorders>
              <w:top w:val="nil"/>
              <w:left w:val="nil"/>
              <w:bottom w:val="single" w:color="000000" w:sz="8" w:space="0"/>
              <w:right w:val="single" w:color="000000" w:sz="8" w:space="0"/>
            </w:tcBorders>
            <w:shd w:val="clear" w:color="auto" w:fill="auto"/>
            <w:noWrap/>
            <w:vAlign w:val="center"/>
          </w:tcPr>
          <w:p w14:paraId="0AC0920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7,897,743</w:t>
            </w:r>
          </w:p>
        </w:tc>
        <w:tc>
          <w:tcPr>
            <w:tcW w:w="1462" w:type="dxa"/>
            <w:tcBorders>
              <w:top w:val="nil"/>
              <w:left w:val="nil"/>
              <w:bottom w:val="single" w:color="000000" w:sz="8" w:space="0"/>
              <w:right w:val="single" w:color="000000" w:sz="8" w:space="0"/>
            </w:tcBorders>
            <w:shd w:val="clear" w:color="auto" w:fill="auto"/>
            <w:vAlign w:val="center"/>
          </w:tcPr>
          <w:p w14:paraId="1CA8A9F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-3,380,485</w:t>
            </w:r>
          </w:p>
        </w:tc>
        <w:tc>
          <w:tcPr>
            <w:tcW w:w="1425" w:type="dxa"/>
            <w:tcBorders>
              <w:top w:val="nil"/>
              <w:left w:val="nil"/>
              <w:bottom w:val="single" w:color="000000" w:sz="8" w:space="0"/>
              <w:right w:val="single" w:color="000000" w:sz="8" w:space="0"/>
            </w:tcBorders>
            <w:shd w:val="clear" w:color="auto" w:fill="auto"/>
            <w:vAlign w:val="center"/>
          </w:tcPr>
          <w:p w14:paraId="0E196C6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-3,336,166</w:t>
            </w:r>
          </w:p>
        </w:tc>
        <w:tc>
          <w:tcPr>
            <w:tcW w:w="1375" w:type="dxa"/>
            <w:tcBorders>
              <w:top w:val="nil"/>
              <w:left w:val="nil"/>
              <w:bottom w:val="single" w:color="000000" w:sz="8" w:space="0"/>
              <w:right w:val="single" w:color="000000" w:sz="8" w:space="0"/>
            </w:tcBorders>
            <w:shd w:val="clear" w:color="auto" w:fill="auto"/>
            <w:vAlign w:val="center"/>
          </w:tcPr>
          <w:p w14:paraId="3A18E42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1,181,092</w:t>
            </w:r>
          </w:p>
        </w:tc>
      </w:tr>
      <w:tr w14:paraId="47C8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5F04BC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2152" w:type="dxa"/>
            <w:tcBorders>
              <w:top w:val="nil"/>
              <w:left w:val="nil"/>
              <w:bottom w:val="single" w:color="000000" w:sz="8" w:space="0"/>
              <w:right w:val="single" w:color="000000" w:sz="8" w:space="0"/>
            </w:tcBorders>
            <w:shd w:val="clear" w:color="auto" w:fill="auto"/>
            <w:noWrap/>
            <w:vAlign w:val="center"/>
          </w:tcPr>
          <w:p w14:paraId="2617913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上海云杉股权投资合伙企业（有限合伙）</w:t>
            </w:r>
          </w:p>
        </w:tc>
        <w:tc>
          <w:tcPr>
            <w:tcW w:w="1463" w:type="dxa"/>
            <w:tcBorders>
              <w:top w:val="nil"/>
              <w:left w:val="nil"/>
              <w:bottom w:val="single" w:color="000000" w:sz="8" w:space="0"/>
              <w:right w:val="single" w:color="000000" w:sz="8" w:space="0"/>
            </w:tcBorders>
            <w:shd w:val="clear" w:color="auto" w:fill="auto"/>
            <w:noWrap/>
            <w:vAlign w:val="center"/>
          </w:tcPr>
          <w:p w14:paraId="39572EC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6,841,060</w:t>
            </w:r>
          </w:p>
        </w:tc>
        <w:tc>
          <w:tcPr>
            <w:tcW w:w="1462" w:type="dxa"/>
            <w:tcBorders>
              <w:top w:val="nil"/>
              <w:left w:val="nil"/>
              <w:bottom w:val="single" w:color="000000" w:sz="8" w:space="0"/>
              <w:right w:val="single" w:color="000000" w:sz="8" w:space="0"/>
            </w:tcBorders>
            <w:shd w:val="clear" w:color="auto" w:fill="auto"/>
            <w:vAlign w:val="center"/>
          </w:tcPr>
          <w:p w14:paraId="14B38FA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-2,170,410</w:t>
            </w:r>
          </w:p>
        </w:tc>
        <w:tc>
          <w:tcPr>
            <w:tcW w:w="1425" w:type="dxa"/>
            <w:tcBorders>
              <w:top w:val="nil"/>
              <w:left w:val="nil"/>
              <w:bottom w:val="single" w:color="000000" w:sz="8" w:space="0"/>
              <w:right w:val="single" w:color="000000" w:sz="8" w:space="0"/>
            </w:tcBorders>
            <w:shd w:val="clear" w:color="auto" w:fill="auto"/>
            <w:vAlign w:val="center"/>
          </w:tcPr>
          <w:p w14:paraId="4305330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-3,413,687</w:t>
            </w:r>
          </w:p>
        </w:tc>
        <w:tc>
          <w:tcPr>
            <w:tcW w:w="1375" w:type="dxa"/>
            <w:tcBorders>
              <w:top w:val="nil"/>
              <w:left w:val="nil"/>
              <w:bottom w:val="single" w:color="000000" w:sz="8" w:space="0"/>
              <w:right w:val="single" w:color="000000" w:sz="8" w:space="0"/>
            </w:tcBorders>
            <w:shd w:val="clear" w:color="auto" w:fill="auto"/>
            <w:vAlign w:val="center"/>
          </w:tcPr>
          <w:p w14:paraId="5D2C0B1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1,256,963</w:t>
            </w:r>
          </w:p>
        </w:tc>
      </w:tr>
      <w:tr w14:paraId="1264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7DBF0C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2152" w:type="dxa"/>
            <w:tcBorders>
              <w:top w:val="nil"/>
              <w:left w:val="nil"/>
              <w:bottom w:val="single" w:color="000000" w:sz="8" w:space="0"/>
              <w:right w:val="single" w:color="000000" w:sz="8" w:space="0"/>
            </w:tcBorders>
            <w:shd w:val="clear" w:color="auto" w:fill="auto"/>
            <w:noWrap/>
            <w:vAlign w:val="center"/>
          </w:tcPr>
          <w:p w14:paraId="212F87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林海光</w:t>
            </w:r>
          </w:p>
        </w:tc>
        <w:tc>
          <w:tcPr>
            <w:tcW w:w="1463" w:type="dxa"/>
            <w:tcBorders>
              <w:top w:val="nil"/>
              <w:left w:val="nil"/>
              <w:bottom w:val="single" w:color="000000" w:sz="8" w:space="0"/>
              <w:right w:val="single" w:color="000000" w:sz="8" w:space="0"/>
            </w:tcBorders>
            <w:shd w:val="clear" w:color="auto" w:fill="auto"/>
            <w:noWrap/>
            <w:vAlign w:val="center"/>
          </w:tcPr>
          <w:p w14:paraId="2175E33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6,661,119</w:t>
            </w:r>
          </w:p>
        </w:tc>
        <w:tc>
          <w:tcPr>
            <w:tcW w:w="1462" w:type="dxa"/>
            <w:tcBorders>
              <w:top w:val="nil"/>
              <w:left w:val="nil"/>
              <w:bottom w:val="single" w:color="000000" w:sz="8" w:space="0"/>
              <w:right w:val="single" w:color="000000" w:sz="8" w:space="0"/>
            </w:tcBorders>
            <w:shd w:val="clear" w:color="auto" w:fill="auto"/>
            <w:vAlign w:val="center"/>
          </w:tcPr>
          <w:p w14:paraId="3ABB442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-1,556,992</w:t>
            </w:r>
          </w:p>
        </w:tc>
        <w:tc>
          <w:tcPr>
            <w:tcW w:w="1425" w:type="dxa"/>
            <w:tcBorders>
              <w:top w:val="nil"/>
              <w:left w:val="nil"/>
              <w:bottom w:val="single" w:color="000000" w:sz="8" w:space="0"/>
              <w:right w:val="single" w:color="000000" w:sz="8" w:space="0"/>
            </w:tcBorders>
            <w:shd w:val="clear" w:color="auto" w:fill="auto"/>
            <w:vAlign w:val="center"/>
          </w:tcPr>
          <w:p w14:paraId="02ADB2B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-3,236,214</w:t>
            </w:r>
          </w:p>
        </w:tc>
        <w:tc>
          <w:tcPr>
            <w:tcW w:w="1375" w:type="dxa"/>
            <w:tcBorders>
              <w:top w:val="nil"/>
              <w:left w:val="nil"/>
              <w:bottom w:val="single" w:color="000000" w:sz="8" w:space="0"/>
              <w:right w:val="single" w:color="000000" w:sz="8" w:space="0"/>
            </w:tcBorders>
            <w:shd w:val="clear" w:color="auto" w:fill="auto"/>
            <w:vAlign w:val="center"/>
          </w:tcPr>
          <w:p w14:paraId="643F552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1,867,913</w:t>
            </w:r>
          </w:p>
        </w:tc>
      </w:tr>
      <w:tr w14:paraId="455A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4B957C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2152" w:type="dxa"/>
            <w:tcBorders>
              <w:top w:val="nil"/>
              <w:left w:val="nil"/>
              <w:bottom w:val="single" w:color="000000" w:sz="8" w:space="0"/>
              <w:right w:val="single" w:color="000000" w:sz="8" w:space="0"/>
            </w:tcBorders>
            <w:shd w:val="clear" w:color="auto" w:fill="auto"/>
            <w:noWrap/>
            <w:vAlign w:val="center"/>
          </w:tcPr>
          <w:p w14:paraId="44E42DF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吴凤亚</w:t>
            </w:r>
          </w:p>
        </w:tc>
        <w:tc>
          <w:tcPr>
            <w:tcW w:w="1463" w:type="dxa"/>
            <w:tcBorders>
              <w:top w:val="nil"/>
              <w:left w:val="nil"/>
              <w:bottom w:val="single" w:color="000000" w:sz="8" w:space="0"/>
              <w:right w:val="single" w:color="000000" w:sz="8" w:space="0"/>
            </w:tcBorders>
            <w:shd w:val="clear" w:color="auto" w:fill="auto"/>
            <w:noWrap/>
            <w:vAlign w:val="center"/>
          </w:tcPr>
          <w:p w14:paraId="4B0F1A9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6,661,119</w:t>
            </w:r>
          </w:p>
        </w:tc>
        <w:tc>
          <w:tcPr>
            <w:tcW w:w="1462" w:type="dxa"/>
            <w:tcBorders>
              <w:top w:val="nil"/>
              <w:left w:val="nil"/>
              <w:bottom w:val="single" w:color="000000" w:sz="8" w:space="0"/>
              <w:right w:val="single" w:color="000000" w:sz="8" w:space="0"/>
            </w:tcBorders>
            <w:shd w:val="clear" w:color="auto" w:fill="auto"/>
            <w:vAlign w:val="center"/>
          </w:tcPr>
          <w:p w14:paraId="65D7BB6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-1,556,992</w:t>
            </w:r>
          </w:p>
        </w:tc>
        <w:tc>
          <w:tcPr>
            <w:tcW w:w="1425" w:type="dxa"/>
            <w:tcBorders>
              <w:top w:val="nil"/>
              <w:left w:val="nil"/>
              <w:bottom w:val="single" w:color="000000" w:sz="8" w:space="0"/>
              <w:right w:val="single" w:color="000000" w:sz="8" w:space="0"/>
            </w:tcBorders>
            <w:shd w:val="clear" w:color="auto" w:fill="auto"/>
            <w:vAlign w:val="center"/>
          </w:tcPr>
          <w:p w14:paraId="5866EB6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-3,236,214</w:t>
            </w:r>
          </w:p>
        </w:tc>
        <w:tc>
          <w:tcPr>
            <w:tcW w:w="1375" w:type="dxa"/>
            <w:tcBorders>
              <w:top w:val="nil"/>
              <w:left w:val="nil"/>
              <w:bottom w:val="single" w:color="000000" w:sz="8" w:space="0"/>
              <w:right w:val="single" w:color="000000" w:sz="8" w:space="0"/>
            </w:tcBorders>
            <w:shd w:val="clear" w:color="auto" w:fill="auto"/>
            <w:vAlign w:val="center"/>
          </w:tcPr>
          <w:p w14:paraId="73E0E95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1,867,913</w:t>
            </w:r>
          </w:p>
        </w:tc>
      </w:tr>
      <w:tr w14:paraId="5A572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41CA16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2152" w:type="dxa"/>
            <w:tcBorders>
              <w:top w:val="nil"/>
              <w:left w:val="nil"/>
              <w:bottom w:val="single" w:color="000000" w:sz="8" w:space="0"/>
              <w:right w:val="single" w:color="000000" w:sz="8" w:space="0"/>
            </w:tcBorders>
            <w:shd w:val="clear" w:color="auto" w:fill="auto"/>
            <w:noWrap/>
            <w:vAlign w:val="center"/>
          </w:tcPr>
          <w:p w14:paraId="0262190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张定乐</w:t>
            </w:r>
          </w:p>
        </w:tc>
        <w:tc>
          <w:tcPr>
            <w:tcW w:w="1463" w:type="dxa"/>
            <w:tcBorders>
              <w:top w:val="nil"/>
              <w:left w:val="nil"/>
              <w:bottom w:val="single" w:color="000000" w:sz="8" w:space="0"/>
              <w:right w:val="single" w:color="000000" w:sz="8" w:space="0"/>
            </w:tcBorders>
            <w:shd w:val="clear" w:color="auto" w:fill="auto"/>
            <w:noWrap/>
            <w:vAlign w:val="center"/>
          </w:tcPr>
          <w:p w14:paraId="2458D2D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6,661,119</w:t>
            </w:r>
          </w:p>
        </w:tc>
        <w:tc>
          <w:tcPr>
            <w:tcW w:w="1462" w:type="dxa"/>
            <w:tcBorders>
              <w:top w:val="nil"/>
              <w:left w:val="nil"/>
              <w:bottom w:val="single" w:color="000000" w:sz="8" w:space="0"/>
              <w:right w:val="single" w:color="000000" w:sz="8" w:space="0"/>
            </w:tcBorders>
            <w:shd w:val="clear" w:color="auto" w:fill="auto"/>
            <w:vAlign w:val="center"/>
          </w:tcPr>
          <w:p w14:paraId="3FBDA08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-1,556,992</w:t>
            </w:r>
          </w:p>
        </w:tc>
        <w:tc>
          <w:tcPr>
            <w:tcW w:w="1425" w:type="dxa"/>
            <w:tcBorders>
              <w:top w:val="nil"/>
              <w:left w:val="nil"/>
              <w:bottom w:val="single" w:color="000000" w:sz="8" w:space="0"/>
              <w:right w:val="single" w:color="000000" w:sz="8" w:space="0"/>
            </w:tcBorders>
            <w:shd w:val="clear" w:color="auto" w:fill="auto"/>
            <w:vAlign w:val="center"/>
          </w:tcPr>
          <w:p w14:paraId="3572596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-3,236,214</w:t>
            </w:r>
          </w:p>
        </w:tc>
        <w:tc>
          <w:tcPr>
            <w:tcW w:w="1375" w:type="dxa"/>
            <w:tcBorders>
              <w:top w:val="nil"/>
              <w:left w:val="nil"/>
              <w:bottom w:val="single" w:color="000000" w:sz="8" w:space="0"/>
              <w:right w:val="single" w:color="000000" w:sz="8" w:space="0"/>
            </w:tcBorders>
            <w:shd w:val="clear" w:color="auto" w:fill="auto"/>
            <w:vAlign w:val="center"/>
          </w:tcPr>
          <w:p w14:paraId="5544D40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1,867,913</w:t>
            </w:r>
          </w:p>
        </w:tc>
      </w:tr>
      <w:tr w14:paraId="41EC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08E47F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2152" w:type="dxa"/>
            <w:tcBorders>
              <w:top w:val="nil"/>
              <w:left w:val="nil"/>
              <w:bottom w:val="single" w:color="000000" w:sz="8" w:space="0"/>
              <w:right w:val="single" w:color="000000" w:sz="8" w:space="0"/>
            </w:tcBorders>
            <w:shd w:val="clear" w:color="auto" w:fill="auto"/>
            <w:noWrap/>
            <w:vAlign w:val="center"/>
          </w:tcPr>
          <w:p w14:paraId="5860FF4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陈林</w:t>
            </w:r>
          </w:p>
        </w:tc>
        <w:tc>
          <w:tcPr>
            <w:tcW w:w="1463" w:type="dxa"/>
            <w:tcBorders>
              <w:top w:val="nil"/>
              <w:left w:val="nil"/>
              <w:bottom w:val="single" w:color="000000" w:sz="8" w:space="0"/>
              <w:right w:val="single" w:color="000000" w:sz="8" w:space="0"/>
            </w:tcBorders>
            <w:shd w:val="clear" w:color="auto" w:fill="auto"/>
            <w:noWrap/>
            <w:vAlign w:val="center"/>
          </w:tcPr>
          <w:p w14:paraId="0750094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6,263,117</w:t>
            </w:r>
          </w:p>
        </w:tc>
        <w:tc>
          <w:tcPr>
            <w:tcW w:w="1462" w:type="dxa"/>
            <w:tcBorders>
              <w:top w:val="nil"/>
              <w:left w:val="nil"/>
              <w:bottom w:val="single" w:color="000000" w:sz="8" w:space="0"/>
              <w:right w:val="single" w:color="000000" w:sz="8" w:space="0"/>
            </w:tcBorders>
            <w:shd w:val="clear" w:color="auto" w:fill="auto"/>
            <w:vAlign w:val="center"/>
          </w:tcPr>
          <w:p w14:paraId="206CC46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253DD08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-4,404,429</w:t>
            </w:r>
          </w:p>
        </w:tc>
        <w:tc>
          <w:tcPr>
            <w:tcW w:w="1375" w:type="dxa"/>
            <w:tcBorders>
              <w:top w:val="nil"/>
              <w:left w:val="nil"/>
              <w:bottom w:val="single" w:color="000000" w:sz="8" w:space="0"/>
              <w:right w:val="single" w:color="000000" w:sz="8" w:space="0"/>
            </w:tcBorders>
            <w:shd w:val="clear" w:color="auto" w:fill="auto"/>
            <w:vAlign w:val="center"/>
          </w:tcPr>
          <w:p w14:paraId="0BB6B07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1,858,688</w:t>
            </w:r>
          </w:p>
        </w:tc>
      </w:tr>
      <w:tr w14:paraId="60BC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758650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2152" w:type="dxa"/>
            <w:tcBorders>
              <w:top w:val="nil"/>
              <w:left w:val="nil"/>
              <w:bottom w:val="single" w:color="000000" w:sz="8" w:space="0"/>
              <w:right w:val="single" w:color="000000" w:sz="8" w:space="0"/>
            </w:tcBorders>
            <w:shd w:val="clear" w:color="auto" w:fill="auto"/>
            <w:noWrap/>
            <w:vAlign w:val="center"/>
          </w:tcPr>
          <w:p w14:paraId="1F8B66B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俞江</w:t>
            </w:r>
          </w:p>
        </w:tc>
        <w:tc>
          <w:tcPr>
            <w:tcW w:w="1463" w:type="dxa"/>
            <w:tcBorders>
              <w:top w:val="nil"/>
              <w:left w:val="nil"/>
              <w:bottom w:val="single" w:color="000000" w:sz="8" w:space="0"/>
              <w:right w:val="single" w:color="000000" w:sz="8" w:space="0"/>
            </w:tcBorders>
            <w:shd w:val="clear" w:color="auto" w:fill="auto"/>
            <w:noWrap/>
            <w:vAlign w:val="center"/>
          </w:tcPr>
          <w:p w14:paraId="23510B3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4,804,753</w:t>
            </w:r>
          </w:p>
        </w:tc>
        <w:tc>
          <w:tcPr>
            <w:tcW w:w="1462" w:type="dxa"/>
            <w:tcBorders>
              <w:top w:val="nil"/>
              <w:left w:val="nil"/>
              <w:bottom w:val="single" w:color="000000" w:sz="8" w:space="0"/>
              <w:right w:val="single" w:color="000000" w:sz="8" w:space="0"/>
            </w:tcBorders>
            <w:shd w:val="clear" w:color="auto" w:fill="auto"/>
            <w:vAlign w:val="center"/>
          </w:tcPr>
          <w:p w14:paraId="0AD5557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-1,023,776</w:t>
            </w:r>
          </w:p>
        </w:tc>
        <w:tc>
          <w:tcPr>
            <w:tcW w:w="1425" w:type="dxa"/>
            <w:tcBorders>
              <w:top w:val="nil"/>
              <w:left w:val="nil"/>
              <w:bottom w:val="single" w:color="000000" w:sz="8" w:space="0"/>
              <w:right w:val="single" w:color="000000" w:sz="8" w:space="0"/>
            </w:tcBorders>
            <w:shd w:val="clear" w:color="auto" w:fill="auto"/>
            <w:vAlign w:val="center"/>
          </w:tcPr>
          <w:p w14:paraId="544E261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-2,828,687</w:t>
            </w:r>
          </w:p>
        </w:tc>
        <w:tc>
          <w:tcPr>
            <w:tcW w:w="1375" w:type="dxa"/>
            <w:tcBorders>
              <w:top w:val="nil"/>
              <w:left w:val="nil"/>
              <w:bottom w:val="single" w:color="000000" w:sz="8" w:space="0"/>
              <w:right w:val="single" w:color="000000" w:sz="8" w:space="0"/>
            </w:tcBorders>
            <w:shd w:val="clear" w:color="auto" w:fill="auto"/>
            <w:vAlign w:val="center"/>
          </w:tcPr>
          <w:p w14:paraId="45B2B78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952,290</w:t>
            </w:r>
          </w:p>
        </w:tc>
      </w:tr>
      <w:tr w14:paraId="13AD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44C955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2152" w:type="dxa"/>
            <w:tcBorders>
              <w:top w:val="nil"/>
              <w:left w:val="nil"/>
              <w:bottom w:val="single" w:color="000000" w:sz="8" w:space="0"/>
              <w:right w:val="single" w:color="000000" w:sz="8" w:space="0"/>
            </w:tcBorders>
            <w:shd w:val="clear" w:color="auto" w:fill="auto"/>
            <w:noWrap/>
            <w:vAlign w:val="center"/>
          </w:tcPr>
          <w:p w14:paraId="30E2B51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深圳国合长泽投资基金合伙企业（有限合伙）</w:t>
            </w:r>
          </w:p>
        </w:tc>
        <w:tc>
          <w:tcPr>
            <w:tcW w:w="1463" w:type="dxa"/>
            <w:tcBorders>
              <w:top w:val="nil"/>
              <w:left w:val="nil"/>
              <w:bottom w:val="single" w:color="000000" w:sz="8" w:space="0"/>
              <w:right w:val="single" w:color="000000" w:sz="8" w:space="0"/>
            </w:tcBorders>
            <w:shd w:val="clear" w:color="auto" w:fill="auto"/>
            <w:noWrap/>
            <w:vAlign w:val="center"/>
          </w:tcPr>
          <w:p w14:paraId="5459B40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4,780,114</w:t>
            </w:r>
          </w:p>
        </w:tc>
        <w:tc>
          <w:tcPr>
            <w:tcW w:w="1462" w:type="dxa"/>
            <w:tcBorders>
              <w:top w:val="nil"/>
              <w:left w:val="nil"/>
              <w:bottom w:val="single" w:color="000000" w:sz="8" w:space="0"/>
              <w:right w:val="single" w:color="000000" w:sz="8" w:space="0"/>
            </w:tcBorders>
            <w:shd w:val="clear" w:color="auto" w:fill="auto"/>
            <w:vAlign w:val="center"/>
          </w:tcPr>
          <w:p w14:paraId="61AB19A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4988620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-4,780,114</w:t>
            </w:r>
          </w:p>
        </w:tc>
        <w:tc>
          <w:tcPr>
            <w:tcW w:w="1375" w:type="dxa"/>
            <w:tcBorders>
              <w:top w:val="nil"/>
              <w:left w:val="nil"/>
              <w:bottom w:val="single" w:color="000000" w:sz="8" w:space="0"/>
              <w:right w:val="single" w:color="000000" w:sz="8" w:space="0"/>
            </w:tcBorders>
            <w:shd w:val="clear" w:color="auto" w:fill="auto"/>
            <w:vAlign w:val="center"/>
          </w:tcPr>
          <w:p w14:paraId="4F7E7CF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209A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0FF7C6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2152" w:type="dxa"/>
            <w:tcBorders>
              <w:top w:val="nil"/>
              <w:left w:val="nil"/>
              <w:bottom w:val="single" w:color="000000" w:sz="8" w:space="0"/>
              <w:right w:val="single" w:color="000000" w:sz="8" w:space="0"/>
            </w:tcBorders>
            <w:shd w:val="clear" w:color="auto" w:fill="auto"/>
            <w:noWrap/>
            <w:vAlign w:val="center"/>
          </w:tcPr>
          <w:p w14:paraId="5D5E856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科维（南通）机械有限公司</w:t>
            </w:r>
          </w:p>
        </w:tc>
        <w:tc>
          <w:tcPr>
            <w:tcW w:w="1463" w:type="dxa"/>
            <w:tcBorders>
              <w:top w:val="nil"/>
              <w:left w:val="nil"/>
              <w:bottom w:val="single" w:color="000000" w:sz="8" w:space="0"/>
              <w:right w:val="single" w:color="000000" w:sz="8" w:space="0"/>
            </w:tcBorders>
            <w:shd w:val="clear" w:color="auto" w:fill="auto"/>
            <w:noWrap/>
            <w:vAlign w:val="center"/>
          </w:tcPr>
          <w:p w14:paraId="6B6A311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4,566,089</w:t>
            </w:r>
          </w:p>
        </w:tc>
        <w:tc>
          <w:tcPr>
            <w:tcW w:w="1462" w:type="dxa"/>
            <w:tcBorders>
              <w:top w:val="nil"/>
              <w:left w:val="nil"/>
              <w:bottom w:val="single" w:color="000000" w:sz="8" w:space="0"/>
              <w:right w:val="single" w:color="000000" w:sz="8" w:space="0"/>
            </w:tcBorders>
            <w:shd w:val="clear" w:color="auto" w:fill="auto"/>
            <w:vAlign w:val="center"/>
          </w:tcPr>
          <w:p w14:paraId="034D095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2B31727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-4,566,089</w:t>
            </w:r>
          </w:p>
        </w:tc>
        <w:tc>
          <w:tcPr>
            <w:tcW w:w="1375" w:type="dxa"/>
            <w:tcBorders>
              <w:top w:val="nil"/>
              <w:left w:val="nil"/>
              <w:bottom w:val="single" w:color="000000" w:sz="8" w:space="0"/>
              <w:right w:val="single" w:color="000000" w:sz="8" w:space="0"/>
            </w:tcBorders>
            <w:shd w:val="clear" w:color="auto" w:fill="auto"/>
            <w:vAlign w:val="center"/>
          </w:tcPr>
          <w:p w14:paraId="31AD332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415D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008E6A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152" w:type="dxa"/>
            <w:tcBorders>
              <w:top w:val="nil"/>
              <w:left w:val="nil"/>
              <w:bottom w:val="single" w:color="000000" w:sz="8" w:space="0"/>
              <w:right w:val="single" w:color="000000" w:sz="8" w:space="0"/>
            </w:tcBorders>
            <w:shd w:val="clear" w:color="auto" w:fill="auto"/>
            <w:noWrap/>
            <w:vAlign w:val="center"/>
          </w:tcPr>
          <w:p w14:paraId="62F0B7B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苏州科荣创业投资中心（有限合伙）</w:t>
            </w:r>
          </w:p>
        </w:tc>
        <w:tc>
          <w:tcPr>
            <w:tcW w:w="1463" w:type="dxa"/>
            <w:tcBorders>
              <w:top w:val="nil"/>
              <w:left w:val="nil"/>
              <w:bottom w:val="single" w:color="000000" w:sz="8" w:space="0"/>
              <w:right w:val="single" w:color="000000" w:sz="8" w:space="0"/>
            </w:tcBorders>
            <w:shd w:val="clear" w:color="auto" w:fill="auto"/>
            <w:noWrap/>
            <w:vAlign w:val="center"/>
          </w:tcPr>
          <w:p w14:paraId="18D183D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4,500,697</w:t>
            </w:r>
          </w:p>
        </w:tc>
        <w:tc>
          <w:tcPr>
            <w:tcW w:w="1462" w:type="dxa"/>
            <w:tcBorders>
              <w:top w:val="nil"/>
              <w:left w:val="nil"/>
              <w:bottom w:val="single" w:color="000000" w:sz="8" w:space="0"/>
              <w:right w:val="single" w:color="000000" w:sz="8" w:space="0"/>
            </w:tcBorders>
            <w:shd w:val="clear" w:color="auto" w:fill="auto"/>
            <w:vAlign w:val="center"/>
          </w:tcPr>
          <w:p w14:paraId="59230A2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-1,427,902</w:t>
            </w:r>
          </w:p>
        </w:tc>
        <w:tc>
          <w:tcPr>
            <w:tcW w:w="1425" w:type="dxa"/>
            <w:tcBorders>
              <w:top w:val="nil"/>
              <w:left w:val="nil"/>
              <w:bottom w:val="single" w:color="000000" w:sz="8" w:space="0"/>
              <w:right w:val="single" w:color="000000" w:sz="8" w:space="0"/>
            </w:tcBorders>
            <w:shd w:val="clear" w:color="auto" w:fill="auto"/>
            <w:vAlign w:val="center"/>
          </w:tcPr>
          <w:p w14:paraId="032E406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375" w:type="dxa"/>
            <w:tcBorders>
              <w:top w:val="nil"/>
              <w:left w:val="nil"/>
              <w:bottom w:val="single" w:color="000000" w:sz="8" w:space="0"/>
              <w:right w:val="single" w:color="000000" w:sz="8" w:space="0"/>
            </w:tcBorders>
            <w:shd w:val="clear" w:color="auto" w:fill="auto"/>
            <w:vAlign w:val="center"/>
          </w:tcPr>
          <w:p w14:paraId="2EB6E66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3,072,795</w:t>
            </w:r>
          </w:p>
        </w:tc>
      </w:tr>
      <w:tr w14:paraId="1E24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0DBF27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2152" w:type="dxa"/>
            <w:tcBorders>
              <w:top w:val="nil"/>
              <w:left w:val="nil"/>
              <w:bottom w:val="single" w:color="000000" w:sz="8" w:space="0"/>
              <w:right w:val="single" w:color="000000" w:sz="8" w:space="0"/>
            </w:tcBorders>
            <w:shd w:val="clear" w:color="auto" w:fill="auto"/>
            <w:noWrap/>
            <w:vAlign w:val="center"/>
          </w:tcPr>
          <w:p w14:paraId="3D3DA44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刘恒</w:t>
            </w:r>
          </w:p>
        </w:tc>
        <w:tc>
          <w:tcPr>
            <w:tcW w:w="1463" w:type="dxa"/>
            <w:tcBorders>
              <w:top w:val="nil"/>
              <w:left w:val="nil"/>
              <w:bottom w:val="single" w:color="000000" w:sz="8" w:space="0"/>
              <w:right w:val="single" w:color="000000" w:sz="8" w:space="0"/>
            </w:tcBorders>
            <w:shd w:val="clear" w:color="auto" w:fill="auto"/>
            <w:noWrap/>
            <w:vAlign w:val="center"/>
          </w:tcPr>
          <w:p w14:paraId="5E5150F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4,440,746</w:t>
            </w:r>
          </w:p>
        </w:tc>
        <w:tc>
          <w:tcPr>
            <w:tcW w:w="1462" w:type="dxa"/>
            <w:tcBorders>
              <w:top w:val="nil"/>
              <w:left w:val="nil"/>
              <w:bottom w:val="single" w:color="000000" w:sz="8" w:space="0"/>
              <w:right w:val="single" w:color="000000" w:sz="8" w:space="0"/>
            </w:tcBorders>
            <w:shd w:val="clear" w:color="auto" w:fill="auto"/>
            <w:vAlign w:val="center"/>
          </w:tcPr>
          <w:p w14:paraId="569BB7D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-1,037,995</w:t>
            </w:r>
          </w:p>
        </w:tc>
        <w:tc>
          <w:tcPr>
            <w:tcW w:w="1425" w:type="dxa"/>
            <w:tcBorders>
              <w:top w:val="nil"/>
              <w:left w:val="nil"/>
              <w:bottom w:val="single" w:color="000000" w:sz="8" w:space="0"/>
              <w:right w:val="single" w:color="000000" w:sz="8" w:space="0"/>
            </w:tcBorders>
            <w:shd w:val="clear" w:color="auto" w:fill="auto"/>
            <w:vAlign w:val="center"/>
          </w:tcPr>
          <w:p w14:paraId="6E6C465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-2,157,476</w:t>
            </w:r>
          </w:p>
        </w:tc>
        <w:tc>
          <w:tcPr>
            <w:tcW w:w="1375" w:type="dxa"/>
            <w:tcBorders>
              <w:top w:val="nil"/>
              <w:left w:val="nil"/>
              <w:bottom w:val="single" w:color="000000" w:sz="8" w:space="0"/>
              <w:right w:val="single" w:color="000000" w:sz="8" w:space="0"/>
            </w:tcBorders>
            <w:shd w:val="clear" w:color="auto" w:fill="auto"/>
            <w:vAlign w:val="center"/>
          </w:tcPr>
          <w:p w14:paraId="0586918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1,245,275</w:t>
            </w:r>
          </w:p>
        </w:tc>
      </w:tr>
      <w:tr w14:paraId="4AB5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2DD303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2152" w:type="dxa"/>
            <w:tcBorders>
              <w:top w:val="nil"/>
              <w:left w:val="nil"/>
              <w:bottom w:val="single" w:color="000000" w:sz="8" w:space="0"/>
              <w:right w:val="single" w:color="000000" w:sz="8" w:space="0"/>
            </w:tcBorders>
            <w:shd w:val="clear" w:color="auto" w:fill="auto"/>
            <w:noWrap/>
            <w:vAlign w:val="center"/>
          </w:tcPr>
          <w:p w14:paraId="5D223E3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方红兵</w:t>
            </w:r>
          </w:p>
        </w:tc>
        <w:tc>
          <w:tcPr>
            <w:tcW w:w="1463" w:type="dxa"/>
            <w:tcBorders>
              <w:top w:val="nil"/>
              <w:left w:val="nil"/>
              <w:bottom w:val="single" w:color="000000" w:sz="8" w:space="0"/>
              <w:right w:val="single" w:color="000000" w:sz="8" w:space="0"/>
            </w:tcBorders>
            <w:shd w:val="clear" w:color="auto" w:fill="auto"/>
            <w:noWrap/>
            <w:vAlign w:val="center"/>
          </w:tcPr>
          <w:p w14:paraId="6FCA0D5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4,353,798</w:t>
            </w:r>
          </w:p>
        </w:tc>
        <w:tc>
          <w:tcPr>
            <w:tcW w:w="1462" w:type="dxa"/>
            <w:tcBorders>
              <w:top w:val="nil"/>
              <w:left w:val="nil"/>
              <w:bottom w:val="single" w:color="000000" w:sz="8" w:space="0"/>
              <w:right w:val="single" w:color="000000" w:sz="8" w:space="0"/>
            </w:tcBorders>
            <w:shd w:val="clear" w:color="auto" w:fill="auto"/>
            <w:vAlign w:val="center"/>
          </w:tcPr>
          <w:p w14:paraId="442C08A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7B5EED0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-3,061,733</w:t>
            </w:r>
          </w:p>
        </w:tc>
        <w:tc>
          <w:tcPr>
            <w:tcW w:w="1375" w:type="dxa"/>
            <w:tcBorders>
              <w:top w:val="nil"/>
              <w:left w:val="nil"/>
              <w:bottom w:val="single" w:color="000000" w:sz="8" w:space="0"/>
              <w:right w:val="single" w:color="000000" w:sz="8" w:space="0"/>
            </w:tcBorders>
            <w:shd w:val="clear" w:color="auto" w:fill="auto"/>
            <w:vAlign w:val="center"/>
          </w:tcPr>
          <w:p w14:paraId="15E4E8A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1,292,065</w:t>
            </w:r>
          </w:p>
        </w:tc>
      </w:tr>
      <w:tr w14:paraId="1B432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00B87F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2152" w:type="dxa"/>
            <w:tcBorders>
              <w:top w:val="nil"/>
              <w:left w:val="nil"/>
              <w:bottom w:val="single" w:color="000000" w:sz="8" w:space="0"/>
              <w:right w:val="single" w:color="000000" w:sz="8" w:space="0"/>
            </w:tcBorders>
            <w:shd w:val="clear" w:color="auto" w:fill="auto"/>
            <w:noWrap/>
            <w:vAlign w:val="center"/>
          </w:tcPr>
          <w:p w14:paraId="3C1F9A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温州科创投资咨询有限公司</w:t>
            </w:r>
          </w:p>
        </w:tc>
        <w:tc>
          <w:tcPr>
            <w:tcW w:w="1463" w:type="dxa"/>
            <w:tcBorders>
              <w:top w:val="nil"/>
              <w:left w:val="nil"/>
              <w:bottom w:val="single" w:color="000000" w:sz="8" w:space="0"/>
              <w:right w:val="single" w:color="000000" w:sz="8" w:space="0"/>
            </w:tcBorders>
            <w:shd w:val="clear" w:color="auto" w:fill="auto"/>
            <w:noWrap/>
            <w:vAlign w:val="center"/>
          </w:tcPr>
          <w:p w14:paraId="18999F6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3,848,555</w:t>
            </w:r>
          </w:p>
        </w:tc>
        <w:tc>
          <w:tcPr>
            <w:tcW w:w="1462" w:type="dxa"/>
            <w:tcBorders>
              <w:top w:val="nil"/>
              <w:left w:val="nil"/>
              <w:bottom w:val="single" w:color="000000" w:sz="8" w:space="0"/>
              <w:right w:val="single" w:color="000000" w:sz="8" w:space="0"/>
            </w:tcBorders>
            <w:shd w:val="clear" w:color="auto" w:fill="auto"/>
            <w:vAlign w:val="center"/>
          </w:tcPr>
          <w:p w14:paraId="330AF9B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-1,221,002</w:t>
            </w:r>
          </w:p>
        </w:tc>
        <w:tc>
          <w:tcPr>
            <w:tcW w:w="1425" w:type="dxa"/>
            <w:tcBorders>
              <w:top w:val="nil"/>
              <w:left w:val="nil"/>
              <w:bottom w:val="single" w:color="000000" w:sz="8" w:space="0"/>
              <w:right w:val="single" w:color="000000" w:sz="8" w:space="0"/>
            </w:tcBorders>
            <w:shd w:val="clear" w:color="auto" w:fill="auto"/>
            <w:vAlign w:val="center"/>
          </w:tcPr>
          <w:p w14:paraId="3432C6F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-1,920,428</w:t>
            </w:r>
          </w:p>
        </w:tc>
        <w:tc>
          <w:tcPr>
            <w:tcW w:w="1375" w:type="dxa"/>
            <w:tcBorders>
              <w:top w:val="nil"/>
              <w:left w:val="nil"/>
              <w:bottom w:val="single" w:color="000000" w:sz="8" w:space="0"/>
              <w:right w:val="single" w:color="000000" w:sz="8" w:space="0"/>
            </w:tcBorders>
            <w:shd w:val="clear" w:color="auto" w:fill="auto"/>
            <w:vAlign w:val="center"/>
          </w:tcPr>
          <w:p w14:paraId="0F05A06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707,125</w:t>
            </w:r>
          </w:p>
        </w:tc>
      </w:tr>
      <w:tr w14:paraId="69B3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2FFA61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2152" w:type="dxa"/>
            <w:tcBorders>
              <w:top w:val="nil"/>
              <w:left w:val="nil"/>
              <w:bottom w:val="single" w:color="000000" w:sz="8" w:space="0"/>
              <w:right w:val="single" w:color="000000" w:sz="8" w:space="0"/>
            </w:tcBorders>
            <w:shd w:val="clear" w:color="auto" w:fill="auto"/>
            <w:noWrap/>
            <w:vAlign w:val="center"/>
          </w:tcPr>
          <w:p w14:paraId="0801BF5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上海日环科技投资有限公司</w:t>
            </w:r>
          </w:p>
        </w:tc>
        <w:tc>
          <w:tcPr>
            <w:tcW w:w="1463" w:type="dxa"/>
            <w:tcBorders>
              <w:top w:val="nil"/>
              <w:left w:val="nil"/>
              <w:bottom w:val="single" w:color="000000" w:sz="8" w:space="0"/>
              <w:right w:val="single" w:color="000000" w:sz="8" w:space="0"/>
            </w:tcBorders>
            <w:shd w:val="clear" w:color="auto" w:fill="auto"/>
            <w:noWrap/>
            <w:vAlign w:val="center"/>
          </w:tcPr>
          <w:p w14:paraId="305706D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3,361,791</w:t>
            </w:r>
          </w:p>
        </w:tc>
        <w:tc>
          <w:tcPr>
            <w:tcW w:w="1462" w:type="dxa"/>
            <w:tcBorders>
              <w:top w:val="nil"/>
              <w:left w:val="nil"/>
              <w:bottom w:val="single" w:color="000000" w:sz="8" w:space="0"/>
              <w:right w:val="single" w:color="000000" w:sz="8" w:space="0"/>
            </w:tcBorders>
            <w:shd w:val="clear" w:color="auto" w:fill="auto"/>
            <w:vAlign w:val="center"/>
          </w:tcPr>
          <w:p w14:paraId="3E1B30F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3425470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-3,361,791</w:t>
            </w:r>
          </w:p>
        </w:tc>
        <w:tc>
          <w:tcPr>
            <w:tcW w:w="1375" w:type="dxa"/>
            <w:tcBorders>
              <w:top w:val="nil"/>
              <w:left w:val="nil"/>
              <w:bottom w:val="single" w:color="000000" w:sz="8" w:space="0"/>
              <w:right w:val="single" w:color="000000" w:sz="8" w:space="0"/>
            </w:tcBorders>
            <w:shd w:val="clear" w:color="auto" w:fill="auto"/>
            <w:vAlign w:val="center"/>
          </w:tcPr>
          <w:p w14:paraId="01993A3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1836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74B61B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2152" w:type="dxa"/>
            <w:tcBorders>
              <w:top w:val="nil"/>
              <w:left w:val="nil"/>
              <w:bottom w:val="single" w:color="000000" w:sz="8" w:space="0"/>
              <w:right w:val="single" w:color="000000" w:sz="8" w:space="0"/>
            </w:tcBorders>
            <w:shd w:val="clear" w:color="auto" w:fill="auto"/>
            <w:noWrap/>
            <w:vAlign w:val="center"/>
          </w:tcPr>
          <w:p w14:paraId="673731A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叶启捷</w:t>
            </w:r>
          </w:p>
        </w:tc>
        <w:tc>
          <w:tcPr>
            <w:tcW w:w="1463" w:type="dxa"/>
            <w:tcBorders>
              <w:top w:val="nil"/>
              <w:left w:val="nil"/>
              <w:bottom w:val="single" w:color="000000" w:sz="8" w:space="0"/>
              <w:right w:val="single" w:color="000000" w:sz="8" w:space="0"/>
            </w:tcBorders>
            <w:shd w:val="clear" w:color="auto" w:fill="auto"/>
            <w:noWrap/>
            <w:vAlign w:val="center"/>
          </w:tcPr>
          <w:p w14:paraId="26222BF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2,402,376</w:t>
            </w:r>
          </w:p>
        </w:tc>
        <w:tc>
          <w:tcPr>
            <w:tcW w:w="1462" w:type="dxa"/>
            <w:tcBorders>
              <w:top w:val="nil"/>
              <w:left w:val="nil"/>
              <w:bottom w:val="single" w:color="000000" w:sz="8" w:space="0"/>
              <w:right w:val="single" w:color="000000" w:sz="8" w:space="0"/>
            </w:tcBorders>
            <w:shd w:val="clear" w:color="auto" w:fill="auto"/>
            <w:vAlign w:val="center"/>
          </w:tcPr>
          <w:p w14:paraId="04844A7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-511,888</w:t>
            </w:r>
          </w:p>
        </w:tc>
        <w:tc>
          <w:tcPr>
            <w:tcW w:w="1425" w:type="dxa"/>
            <w:tcBorders>
              <w:top w:val="nil"/>
              <w:left w:val="nil"/>
              <w:bottom w:val="single" w:color="000000" w:sz="8" w:space="0"/>
              <w:right w:val="single" w:color="000000" w:sz="8" w:space="0"/>
            </w:tcBorders>
            <w:shd w:val="clear" w:color="auto" w:fill="auto"/>
            <w:vAlign w:val="center"/>
          </w:tcPr>
          <w:p w14:paraId="64929A5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-1,414,344</w:t>
            </w:r>
          </w:p>
        </w:tc>
        <w:tc>
          <w:tcPr>
            <w:tcW w:w="1375" w:type="dxa"/>
            <w:tcBorders>
              <w:top w:val="nil"/>
              <w:left w:val="nil"/>
              <w:bottom w:val="single" w:color="000000" w:sz="8" w:space="0"/>
              <w:right w:val="single" w:color="000000" w:sz="8" w:space="0"/>
            </w:tcBorders>
            <w:shd w:val="clear" w:color="auto" w:fill="auto"/>
            <w:vAlign w:val="center"/>
          </w:tcPr>
          <w:p w14:paraId="2D6DF64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476,144</w:t>
            </w:r>
          </w:p>
        </w:tc>
      </w:tr>
      <w:tr w14:paraId="2A32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285283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2152" w:type="dxa"/>
            <w:tcBorders>
              <w:top w:val="nil"/>
              <w:left w:val="nil"/>
              <w:bottom w:val="single" w:color="000000" w:sz="8" w:space="0"/>
              <w:right w:val="single" w:color="000000" w:sz="8" w:space="0"/>
            </w:tcBorders>
            <w:shd w:val="clear" w:color="auto" w:fill="auto"/>
            <w:noWrap/>
            <w:vAlign w:val="center"/>
          </w:tcPr>
          <w:p w14:paraId="1F99282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高健</w:t>
            </w:r>
          </w:p>
        </w:tc>
        <w:tc>
          <w:tcPr>
            <w:tcW w:w="1463" w:type="dxa"/>
            <w:tcBorders>
              <w:top w:val="nil"/>
              <w:left w:val="nil"/>
              <w:bottom w:val="single" w:color="000000" w:sz="8" w:space="0"/>
              <w:right w:val="single" w:color="000000" w:sz="8" w:space="0"/>
            </w:tcBorders>
            <w:shd w:val="clear" w:color="auto" w:fill="auto"/>
            <w:noWrap/>
            <w:vAlign w:val="center"/>
          </w:tcPr>
          <w:p w14:paraId="51B0E3D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2,339,310</w:t>
            </w:r>
          </w:p>
        </w:tc>
        <w:tc>
          <w:tcPr>
            <w:tcW w:w="1462" w:type="dxa"/>
            <w:tcBorders>
              <w:top w:val="nil"/>
              <w:left w:val="nil"/>
              <w:bottom w:val="single" w:color="000000" w:sz="8" w:space="0"/>
              <w:right w:val="single" w:color="000000" w:sz="8" w:space="0"/>
            </w:tcBorders>
            <w:shd w:val="clear" w:color="auto" w:fill="auto"/>
            <w:vAlign w:val="center"/>
          </w:tcPr>
          <w:p w14:paraId="48CF7B2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-498,450</w:t>
            </w:r>
          </w:p>
        </w:tc>
        <w:tc>
          <w:tcPr>
            <w:tcW w:w="1425" w:type="dxa"/>
            <w:tcBorders>
              <w:top w:val="nil"/>
              <w:left w:val="nil"/>
              <w:bottom w:val="single" w:color="000000" w:sz="8" w:space="0"/>
              <w:right w:val="single" w:color="000000" w:sz="8" w:space="0"/>
            </w:tcBorders>
            <w:shd w:val="clear" w:color="auto" w:fill="auto"/>
            <w:vAlign w:val="center"/>
          </w:tcPr>
          <w:p w14:paraId="228EF44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-1,377,214</w:t>
            </w:r>
          </w:p>
        </w:tc>
        <w:tc>
          <w:tcPr>
            <w:tcW w:w="1375" w:type="dxa"/>
            <w:tcBorders>
              <w:top w:val="nil"/>
              <w:left w:val="nil"/>
              <w:bottom w:val="single" w:color="000000" w:sz="8" w:space="0"/>
              <w:right w:val="single" w:color="000000" w:sz="8" w:space="0"/>
            </w:tcBorders>
            <w:shd w:val="clear" w:color="auto" w:fill="auto"/>
            <w:vAlign w:val="center"/>
          </w:tcPr>
          <w:p w14:paraId="76CB5D5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463,646</w:t>
            </w:r>
          </w:p>
        </w:tc>
      </w:tr>
      <w:tr w14:paraId="1C23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627DAD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2152" w:type="dxa"/>
            <w:tcBorders>
              <w:top w:val="nil"/>
              <w:left w:val="nil"/>
              <w:bottom w:val="single" w:color="000000" w:sz="8" w:space="0"/>
              <w:right w:val="single" w:color="000000" w:sz="8" w:space="0"/>
            </w:tcBorders>
            <w:shd w:val="clear" w:color="auto" w:fill="auto"/>
            <w:noWrap/>
            <w:vAlign w:val="center"/>
          </w:tcPr>
          <w:p w14:paraId="6D61D8B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徐争鸣</w:t>
            </w:r>
          </w:p>
        </w:tc>
        <w:tc>
          <w:tcPr>
            <w:tcW w:w="1463" w:type="dxa"/>
            <w:tcBorders>
              <w:top w:val="nil"/>
              <w:left w:val="nil"/>
              <w:bottom w:val="single" w:color="000000" w:sz="8" w:space="0"/>
              <w:right w:val="single" w:color="000000" w:sz="8" w:space="0"/>
            </w:tcBorders>
            <w:shd w:val="clear" w:color="auto" w:fill="auto"/>
            <w:noWrap/>
            <w:vAlign w:val="center"/>
          </w:tcPr>
          <w:p w14:paraId="7D86271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2,256,498</w:t>
            </w:r>
          </w:p>
        </w:tc>
        <w:tc>
          <w:tcPr>
            <w:tcW w:w="1462" w:type="dxa"/>
            <w:tcBorders>
              <w:top w:val="nil"/>
              <w:left w:val="nil"/>
              <w:bottom w:val="single" w:color="000000" w:sz="8" w:space="0"/>
              <w:right w:val="single" w:color="000000" w:sz="8" w:space="0"/>
            </w:tcBorders>
            <w:shd w:val="clear" w:color="auto" w:fill="auto"/>
            <w:vAlign w:val="center"/>
          </w:tcPr>
          <w:p w14:paraId="618E06E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-965,854</w:t>
            </w:r>
          </w:p>
        </w:tc>
        <w:tc>
          <w:tcPr>
            <w:tcW w:w="1425" w:type="dxa"/>
            <w:tcBorders>
              <w:top w:val="nil"/>
              <w:left w:val="nil"/>
              <w:bottom w:val="single" w:color="000000" w:sz="8" w:space="0"/>
              <w:right w:val="single" w:color="000000" w:sz="8" w:space="0"/>
            </w:tcBorders>
            <w:shd w:val="clear" w:color="auto" w:fill="auto"/>
            <w:vAlign w:val="center"/>
          </w:tcPr>
          <w:p w14:paraId="7D35C04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-953,190</w:t>
            </w:r>
          </w:p>
        </w:tc>
        <w:tc>
          <w:tcPr>
            <w:tcW w:w="1375" w:type="dxa"/>
            <w:tcBorders>
              <w:top w:val="nil"/>
              <w:left w:val="nil"/>
              <w:bottom w:val="single" w:color="000000" w:sz="8" w:space="0"/>
              <w:right w:val="single" w:color="000000" w:sz="8" w:space="0"/>
            </w:tcBorders>
            <w:shd w:val="clear" w:color="auto" w:fill="auto"/>
            <w:vAlign w:val="center"/>
          </w:tcPr>
          <w:p w14:paraId="416D5CB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337,454</w:t>
            </w:r>
          </w:p>
        </w:tc>
      </w:tr>
      <w:tr w14:paraId="080E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5964D5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2152" w:type="dxa"/>
            <w:tcBorders>
              <w:top w:val="nil"/>
              <w:left w:val="nil"/>
              <w:bottom w:val="single" w:color="000000" w:sz="8" w:space="0"/>
              <w:right w:val="single" w:color="000000" w:sz="8" w:space="0"/>
            </w:tcBorders>
            <w:shd w:val="clear" w:color="auto" w:fill="auto"/>
            <w:noWrap/>
            <w:vAlign w:val="center"/>
          </w:tcPr>
          <w:p w14:paraId="1136B4E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苏忠兴</w:t>
            </w:r>
          </w:p>
        </w:tc>
        <w:tc>
          <w:tcPr>
            <w:tcW w:w="1463" w:type="dxa"/>
            <w:tcBorders>
              <w:top w:val="nil"/>
              <w:left w:val="nil"/>
              <w:bottom w:val="single" w:color="000000" w:sz="8" w:space="0"/>
              <w:right w:val="single" w:color="000000" w:sz="8" w:space="0"/>
            </w:tcBorders>
            <w:shd w:val="clear" w:color="auto" w:fill="auto"/>
            <w:noWrap/>
            <w:vAlign w:val="center"/>
          </w:tcPr>
          <w:p w14:paraId="5C8BEEB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2,220,373</w:t>
            </w:r>
          </w:p>
        </w:tc>
        <w:tc>
          <w:tcPr>
            <w:tcW w:w="1462" w:type="dxa"/>
            <w:tcBorders>
              <w:top w:val="nil"/>
              <w:left w:val="nil"/>
              <w:bottom w:val="single" w:color="000000" w:sz="8" w:space="0"/>
              <w:right w:val="single" w:color="000000" w:sz="8" w:space="0"/>
            </w:tcBorders>
            <w:shd w:val="clear" w:color="auto" w:fill="auto"/>
            <w:vAlign w:val="center"/>
          </w:tcPr>
          <w:p w14:paraId="761332B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-518,998</w:t>
            </w:r>
          </w:p>
        </w:tc>
        <w:tc>
          <w:tcPr>
            <w:tcW w:w="1425" w:type="dxa"/>
            <w:tcBorders>
              <w:top w:val="nil"/>
              <w:left w:val="nil"/>
              <w:bottom w:val="single" w:color="000000" w:sz="8" w:space="0"/>
              <w:right w:val="single" w:color="000000" w:sz="8" w:space="0"/>
            </w:tcBorders>
            <w:shd w:val="clear" w:color="auto" w:fill="auto"/>
            <w:vAlign w:val="center"/>
          </w:tcPr>
          <w:p w14:paraId="009E716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-1,078,738</w:t>
            </w:r>
          </w:p>
        </w:tc>
        <w:tc>
          <w:tcPr>
            <w:tcW w:w="1375" w:type="dxa"/>
            <w:tcBorders>
              <w:top w:val="nil"/>
              <w:left w:val="nil"/>
              <w:bottom w:val="single" w:color="000000" w:sz="8" w:space="0"/>
              <w:right w:val="single" w:color="000000" w:sz="8" w:space="0"/>
            </w:tcBorders>
            <w:shd w:val="clear" w:color="auto" w:fill="auto"/>
            <w:vAlign w:val="center"/>
          </w:tcPr>
          <w:p w14:paraId="10A87D3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622,637</w:t>
            </w:r>
          </w:p>
        </w:tc>
      </w:tr>
      <w:tr w14:paraId="3835E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6ED820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2152" w:type="dxa"/>
            <w:tcBorders>
              <w:top w:val="nil"/>
              <w:left w:val="nil"/>
              <w:bottom w:val="single" w:color="000000" w:sz="8" w:space="0"/>
              <w:right w:val="single" w:color="000000" w:sz="8" w:space="0"/>
            </w:tcBorders>
            <w:shd w:val="clear" w:color="auto" w:fill="auto"/>
            <w:noWrap/>
            <w:vAlign w:val="center"/>
          </w:tcPr>
          <w:p w14:paraId="3E1FAC1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陆惠岐</w:t>
            </w:r>
          </w:p>
        </w:tc>
        <w:tc>
          <w:tcPr>
            <w:tcW w:w="1463" w:type="dxa"/>
            <w:tcBorders>
              <w:top w:val="nil"/>
              <w:left w:val="nil"/>
              <w:bottom w:val="single" w:color="000000" w:sz="8" w:space="0"/>
              <w:right w:val="single" w:color="000000" w:sz="8" w:space="0"/>
            </w:tcBorders>
            <w:shd w:val="clear" w:color="auto" w:fill="auto"/>
            <w:noWrap/>
            <w:vAlign w:val="center"/>
          </w:tcPr>
          <w:p w14:paraId="283562F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2,220,373</w:t>
            </w:r>
          </w:p>
        </w:tc>
        <w:tc>
          <w:tcPr>
            <w:tcW w:w="1462" w:type="dxa"/>
            <w:tcBorders>
              <w:top w:val="nil"/>
              <w:left w:val="nil"/>
              <w:bottom w:val="single" w:color="000000" w:sz="8" w:space="0"/>
              <w:right w:val="single" w:color="000000" w:sz="8" w:space="0"/>
            </w:tcBorders>
            <w:shd w:val="clear" w:color="auto" w:fill="auto"/>
            <w:vAlign w:val="center"/>
          </w:tcPr>
          <w:p w14:paraId="70BA383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-518,998</w:t>
            </w:r>
          </w:p>
        </w:tc>
        <w:tc>
          <w:tcPr>
            <w:tcW w:w="1425" w:type="dxa"/>
            <w:tcBorders>
              <w:top w:val="nil"/>
              <w:left w:val="nil"/>
              <w:bottom w:val="single" w:color="000000" w:sz="8" w:space="0"/>
              <w:right w:val="single" w:color="000000" w:sz="8" w:space="0"/>
            </w:tcBorders>
            <w:shd w:val="clear" w:color="auto" w:fill="auto"/>
            <w:vAlign w:val="center"/>
          </w:tcPr>
          <w:p w14:paraId="2319DA2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-1,078,738</w:t>
            </w:r>
          </w:p>
        </w:tc>
        <w:tc>
          <w:tcPr>
            <w:tcW w:w="1375" w:type="dxa"/>
            <w:tcBorders>
              <w:top w:val="nil"/>
              <w:left w:val="nil"/>
              <w:bottom w:val="single" w:color="000000" w:sz="8" w:space="0"/>
              <w:right w:val="single" w:color="000000" w:sz="8" w:space="0"/>
            </w:tcBorders>
            <w:shd w:val="clear" w:color="auto" w:fill="auto"/>
            <w:vAlign w:val="center"/>
          </w:tcPr>
          <w:p w14:paraId="0A280A6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622,637</w:t>
            </w:r>
          </w:p>
        </w:tc>
      </w:tr>
      <w:tr w14:paraId="48430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268C40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2152" w:type="dxa"/>
            <w:tcBorders>
              <w:top w:val="nil"/>
              <w:left w:val="nil"/>
              <w:bottom w:val="single" w:color="000000" w:sz="8" w:space="0"/>
              <w:right w:val="single" w:color="000000" w:sz="8" w:space="0"/>
            </w:tcBorders>
            <w:shd w:val="clear" w:color="auto" w:fill="auto"/>
            <w:noWrap/>
            <w:vAlign w:val="center"/>
          </w:tcPr>
          <w:p w14:paraId="221751C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王珏</w:t>
            </w:r>
          </w:p>
        </w:tc>
        <w:tc>
          <w:tcPr>
            <w:tcW w:w="1463" w:type="dxa"/>
            <w:tcBorders>
              <w:top w:val="nil"/>
              <w:left w:val="nil"/>
              <w:bottom w:val="single" w:color="000000" w:sz="8" w:space="0"/>
              <w:right w:val="single" w:color="000000" w:sz="8" w:space="0"/>
            </w:tcBorders>
            <w:shd w:val="clear" w:color="auto" w:fill="auto"/>
            <w:noWrap/>
            <w:vAlign w:val="center"/>
          </w:tcPr>
          <w:p w14:paraId="2497892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2,220,373</w:t>
            </w:r>
          </w:p>
        </w:tc>
        <w:tc>
          <w:tcPr>
            <w:tcW w:w="1462" w:type="dxa"/>
            <w:tcBorders>
              <w:top w:val="nil"/>
              <w:left w:val="nil"/>
              <w:bottom w:val="single" w:color="000000" w:sz="8" w:space="0"/>
              <w:right w:val="single" w:color="000000" w:sz="8" w:space="0"/>
            </w:tcBorders>
            <w:shd w:val="clear" w:color="auto" w:fill="auto"/>
            <w:vAlign w:val="center"/>
          </w:tcPr>
          <w:p w14:paraId="5896536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-518,998</w:t>
            </w:r>
          </w:p>
        </w:tc>
        <w:tc>
          <w:tcPr>
            <w:tcW w:w="1425" w:type="dxa"/>
            <w:tcBorders>
              <w:top w:val="nil"/>
              <w:left w:val="nil"/>
              <w:bottom w:val="single" w:color="000000" w:sz="8" w:space="0"/>
              <w:right w:val="single" w:color="000000" w:sz="8" w:space="0"/>
            </w:tcBorders>
            <w:shd w:val="clear" w:color="auto" w:fill="auto"/>
            <w:vAlign w:val="center"/>
          </w:tcPr>
          <w:p w14:paraId="7B5E98F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-1,078,738</w:t>
            </w:r>
          </w:p>
        </w:tc>
        <w:tc>
          <w:tcPr>
            <w:tcW w:w="1375" w:type="dxa"/>
            <w:tcBorders>
              <w:top w:val="nil"/>
              <w:left w:val="nil"/>
              <w:bottom w:val="single" w:color="000000" w:sz="8" w:space="0"/>
              <w:right w:val="single" w:color="000000" w:sz="8" w:space="0"/>
            </w:tcBorders>
            <w:shd w:val="clear" w:color="auto" w:fill="auto"/>
            <w:vAlign w:val="center"/>
          </w:tcPr>
          <w:p w14:paraId="2DE620F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622,637</w:t>
            </w:r>
          </w:p>
        </w:tc>
      </w:tr>
      <w:tr w14:paraId="5375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7CD9A6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2152" w:type="dxa"/>
            <w:tcBorders>
              <w:top w:val="nil"/>
              <w:left w:val="nil"/>
              <w:bottom w:val="single" w:color="000000" w:sz="8" w:space="0"/>
              <w:right w:val="single" w:color="000000" w:sz="8" w:space="0"/>
            </w:tcBorders>
            <w:shd w:val="clear" w:color="auto" w:fill="auto"/>
            <w:noWrap/>
            <w:vAlign w:val="center"/>
          </w:tcPr>
          <w:p w14:paraId="14627C9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包秀杰</w:t>
            </w:r>
          </w:p>
        </w:tc>
        <w:tc>
          <w:tcPr>
            <w:tcW w:w="1463" w:type="dxa"/>
            <w:tcBorders>
              <w:top w:val="nil"/>
              <w:left w:val="nil"/>
              <w:bottom w:val="single" w:color="000000" w:sz="8" w:space="0"/>
              <w:right w:val="single" w:color="000000" w:sz="8" w:space="0"/>
            </w:tcBorders>
            <w:shd w:val="clear" w:color="auto" w:fill="auto"/>
            <w:noWrap/>
            <w:vAlign w:val="center"/>
          </w:tcPr>
          <w:p w14:paraId="7B3110C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2,138,290</w:t>
            </w:r>
          </w:p>
        </w:tc>
        <w:tc>
          <w:tcPr>
            <w:tcW w:w="1462" w:type="dxa"/>
            <w:tcBorders>
              <w:top w:val="nil"/>
              <w:left w:val="nil"/>
              <w:bottom w:val="single" w:color="000000" w:sz="8" w:space="0"/>
              <w:right w:val="single" w:color="000000" w:sz="8" w:space="0"/>
            </w:tcBorders>
            <w:shd w:val="clear" w:color="auto" w:fill="auto"/>
            <w:vAlign w:val="center"/>
          </w:tcPr>
          <w:p w14:paraId="3A08929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-678,399</w:t>
            </w:r>
          </w:p>
        </w:tc>
        <w:tc>
          <w:tcPr>
            <w:tcW w:w="1425" w:type="dxa"/>
            <w:tcBorders>
              <w:top w:val="nil"/>
              <w:left w:val="nil"/>
              <w:bottom w:val="single" w:color="000000" w:sz="8" w:space="0"/>
              <w:right w:val="single" w:color="000000" w:sz="8" w:space="0"/>
            </w:tcBorders>
            <w:shd w:val="clear" w:color="auto" w:fill="auto"/>
            <w:vAlign w:val="center"/>
          </w:tcPr>
          <w:p w14:paraId="7046235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-1,067,006</w:t>
            </w:r>
          </w:p>
        </w:tc>
        <w:tc>
          <w:tcPr>
            <w:tcW w:w="1375" w:type="dxa"/>
            <w:tcBorders>
              <w:top w:val="nil"/>
              <w:left w:val="nil"/>
              <w:bottom w:val="single" w:color="000000" w:sz="8" w:space="0"/>
              <w:right w:val="single" w:color="000000" w:sz="8" w:space="0"/>
            </w:tcBorders>
            <w:shd w:val="clear" w:color="auto" w:fill="auto"/>
            <w:vAlign w:val="center"/>
          </w:tcPr>
          <w:p w14:paraId="087CDCC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392,885</w:t>
            </w:r>
          </w:p>
        </w:tc>
      </w:tr>
      <w:tr w14:paraId="1487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0BC0D2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152" w:type="dxa"/>
            <w:tcBorders>
              <w:top w:val="nil"/>
              <w:left w:val="nil"/>
              <w:bottom w:val="single" w:color="000000" w:sz="8" w:space="0"/>
              <w:right w:val="single" w:color="000000" w:sz="8" w:space="0"/>
            </w:tcBorders>
            <w:shd w:val="clear" w:color="auto" w:fill="auto"/>
            <w:noWrap/>
            <w:vAlign w:val="center"/>
          </w:tcPr>
          <w:p w14:paraId="0F48F9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苏州资达股权投资管理合伙企业（有限合伙）</w:t>
            </w:r>
          </w:p>
        </w:tc>
        <w:tc>
          <w:tcPr>
            <w:tcW w:w="1463" w:type="dxa"/>
            <w:tcBorders>
              <w:top w:val="nil"/>
              <w:left w:val="nil"/>
              <w:bottom w:val="single" w:color="000000" w:sz="8" w:space="0"/>
              <w:right w:val="single" w:color="000000" w:sz="8" w:space="0"/>
            </w:tcBorders>
            <w:shd w:val="clear" w:color="auto" w:fill="auto"/>
            <w:noWrap/>
            <w:vAlign w:val="center"/>
          </w:tcPr>
          <w:p w14:paraId="7374478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1,702,802</w:t>
            </w:r>
          </w:p>
        </w:tc>
        <w:tc>
          <w:tcPr>
            <w:tcW w:w="1462" w:type="dxa"/>
            <w:tcBorders>
              <w:top w:val="nil"/>
              <w:left w:val="nil"/>
              <w:bottom w:val="single" w:color="000000" w:sz="8" w:space="0"/>
              <w:right w:val="single" w:color="000000" w:sz="8" w:space="0"/>
            </w:tcBorders>
            <w:shd w:val="clear" w:color="auto" w:fill="auto"/>
            <w:vAlign w:val="center"/>
          </w:tcPr>
          <w:p w14:paraId="30BB692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-362,826</w:t>
            </w:r>
          </w:p>
        </w:tc>
        <w:tc>
          <w:tcPr>
            <w:tcW w:w="1425" w:type="dxa"/>
            <w:tcBorders>
              <w:top w:val="nil"/>
              <w:left w:val="nil"/>
              <w:bottom w:val="single" w:color="000000" w:sz="8" w:space="0"/>
              <w:right w:val="single" w:color="000000" w:sz="8" w:space="0"/>
            </w:tcBorders>
            <w:shd w:val="clear" w:color="auto" w:fill="auto"/>
            <w:vAlign w:val="center"/>
          </w:tcPr>
          <w:p w14:paraId="3766563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-1,002,485</w:t>
            </w:r>
          </w:p>
        </w:tc>
        <w:tc>
          <w:tcPr>
            <w:tcW w:w="1375" w:type="dxa"/>
            <w:tcBorders>
              <w:top w:val="nil"/>
              <w:left w:val="nil"/>
              <w:bottom w:val="single" w:color="000000" w:sz="8" w:space="0"/>
              <w:right w:val="single" w:color="000000" w:sz="8" w:space="0"/>
            </w:tcBorders>
            <w:shd w:val="clear" w:color="auto" w:fill="auto"/>
            <w:vAlign w:val="center"/>
          </w:tcPr>
          <w:p w14:paraId="11468A7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337,491</w:t>
            </w:r>
          </w:p>
        </w:tc>
      </w:tr>
      <w:tr w14:paraId="60A9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5C3579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2152" w:type="dxa"/>
            <w:tcBorders>
              <w:top w:val="nil"/>
              <w:left w:val="nil"/>
              <w:bottom w:val="single" w:color="000000" w:sz="8" w:space="0"/>
              <w:right w:val="single" w:color="000000" w:sz="8" w:space="0"/>
            </w:tcBorders>
            <w:shd w:val="clear" w:color="auto" w:fill="auto"/>
            <w:noWrap/>
            <w:vAlign w:val="center"/>
          </w:tcPr>
          <w:p w14:paraId="279AA0C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刘斌</w:t>
            </w:r>
          </w:p>
        </w:tc>
        <w:tc>
          <w:tcPr>
            <w:tcW w:w="1463" w:type="dxa"/>
            <w:tcBorders>
              <w:top w:val="nil"/>
              <w:left w:val="nil"/>
              <w:bottom w:val="single" w:color="000000" w:sz="8" w:space="0"/>
              <w:right w:val="single" w:color="000000" w:sz="8" w:space="0"/>
            </w:tcBorders>
            <w:shd w:val="clear" w:color="auto" w:fill="auto"/>
            <w:noWrap/>
            <w:vAlign w:val="center"/>
          </w:tcPr>
          <w:p w14:paraId="2DC4E88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1,581,871</w:t>
            </w:r>
          </w:p>
        </w:tc>
        <w:tc>
          <w:tcPr>
            <w:tcW w:w="1462" w:type="dxa"/>
            <w:tcBorders>
              <w:top w:val="nil"/>
              <w:left w:val="nil"/>
              <w:bottom w:val="single" w:color="000000" w:sz="8" w:space="0"/>
              <w:right w:val="single" w:color="000000" w:sz="8" w:space="0"/>
            </w:tcBorders>
            <w:shd w:val="clear" w:color="auto" w:fill="auto"/>
            <w:vAlign w:val="center"/>
          </w:tcPr>
          <w:p w14:paraId="4D4F6D4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0BDE5F0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-1,581,871</w:t>
            </w:r>
          </w:p>
        </w:tc>
        <w:tc>
          <w:tcPr>
            <w:tcW w:w="1375" w:type="dxa"/>
            <w:tcBorders>
              <w:top w:val="nil"/>
              <w:left w:val="nil"/>
              <w:bottom w:val="single" w:color="000000" w:sz="8" w:space="0"/>
              <w:right w:val="single" w:color="000000" w:sz="8" w:space="0"/>
            </w:tcBorders>
            <w:shd w:val="clear" w:color="auto" w:fill="auto"/>
            <w:vAlign w:val="center"/>
          </w:tcPr>
          <w:p w14:paraId="7511B89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7EAF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61702E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2152" w:type="dxa"/>
            <w:tcBorders>
              <w:top w:val="nil"/>
              <w:left w:val="nil"/>
              <w:bottom w:val="single" w:color="000000" w:sz="8" w:space="0"/>
              <w:right w:val="single" w:color="000000" w:sz="8" w:space="0"/>
            </w:tcBorders>
            <w:shd w:val="clear" w:color="auto" w:fill="auto"/>
            <w:noWrap/>
            <w:vAlign w:val="center"/>
          </w:tcPr>
          <w:p w14:paraId="392E076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深圳市沃尔核材股份有限公司</w:t>
            </w:r>
          </w:p>
        </w:tc>
        <w:tc>
          <w:tcPr>
            <w:tcW w:w="1463" w:type="dxa"/>
            <w:tcBorders>
              <w:top w:val="nil"/>
              <w:left w:val="nil"/>
              <w:bottom w:val="single" w:color="000000" w:sz="8" w:space="0"/>
              <w:right w:val="single" w:color="000000" w:sz="8" w:space="0"/>
            </w:tcBorders>
            <w:shd w:val="clear" w:color="auto" w:fill="auto"/>
            <w:noWrap/>
            <w:vAlign w:val="center"/>
          </w:tcPr>
          <w:p w14:paraId="493E51C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1,566,193</w:t>
            </w:r>
          </w:p>
        </w:tc>
        <w:tc>
          <w:tcPr>
            <w:tcW w:w="1462" w:type="dxa"/>
            <w:tcBorders>
              <w:top w:val="nil"/>
              <w:left w:val="nil"/>
              <w:bottom w:val="single" w:color="000000" w:sz="8" w:space="0"/>
              <w:right w:val="single" w:color="000000" w:sz="8" w:space="0"/>
            </w:tcBorders>
            <w:shd w:val="clear" w:color="auto" w:fill="auto"/>
            <w:vAlign w:val="center"/>
          </w:tcPr>
          <w:p w14:paraId="0B4B6CC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611FE6A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-1,467,247</w:t>
            </w:r>
          </w:p>
        </w:tc>
        <w:tc>
          <w:tcPr>
            <w:tcW w:w="1375" w:type="dxa"/>
            <w:tcBorders>
              <w:top w:val="nil"/>
              <w:left w:val="nil"/>
              <w:bottom w:val="single" w:color="000000" w:sz="8" w:space="0"/>
              <w:right w:val="single" w:color="000000" w:sz="8" w:space="0"/>
            </w:tcBorders>
            <w:shd w:val="clear" w:color="auto" w:fill="auto"/>
            <w:vAlign w:val="center"/>
          </w:tcPr>
          <w:p w14:paraId="29482E9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98,946</w:t>
            </w:r>
          </w:p>
        </w:tc>
      </w:tr>
      <w:tr w14:paraId="720C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0102F6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2152" w:type="dxa"/>
            <w:tcBorders>
              <w:top w:val="nil"/>
              <w:left w:val="nil"/>
              <w:bottom w:val="single" w:color="000000" w:sz="8" w:space="0"/>
              <w:right w:val="single" w:color="000000" w:sz="8" w:space="0"/>
            </w:tcBorders>
            <w:shd w:val="clear" w:color="auto" w:fill="auto"/>
            <w:noWrap/>
            <w:vAlign w:val="center"/>
          </w:tcPr>
          <w:p w14:paraId="17B6DF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苏州君胜股权投资管理合伙企业（有限合伙）</w:t>
            </w:r>
          </w:p>
        </w:tc>
        <w:tc>
          <w:tcPr>
            <w:tcW w:w="1463" w:type="dxa"/>
            <w:tcBorders>
              <w:top w:val="nil"/>
              <w:left w:val="nil"/>
              <w:bottom w:val="single" w:color="000000" w:sz="8" w:space="0"/>
              <w:right w:val="single" w:color="000000" w:sz="8" w:space="0"/>
            </w:tcBorders>
            <w:shd w:val="clear" w:color="auto" w:fill="auto"/>
            <w:noWrap/>
            <w:vAlign w:val="center"/>
          </w:tcPr>
          <w:p w14:paraId="4B26B3B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958,848</w:t>
            </w:r>
          </w:p>
        </w:tc>
        <w:tc>
          <w:tcPr>
            <w:tcW w:w="1462" w:type="dxa"/>
            <w:tcBorders>
              <w:top w:val="nil"/>
              <w:left w:val="nil"/>
              <w:bottom w:val="single" w:color="000000" w:sz="8" w:space="0"/>
              <w:right w:val="single" w:color="000000" w:sz="8" w:space="0"/>
            </w:tcBorders>
            <w:shd w:val="clear" w:color="auto" w:fill="auto"/>
            <w:vAlign w:val="center"/>
          </w:tcPr>
          <w:p w14:paraId="73ECA9D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-204,308</w:t>
            </w:r>
          </w:p>
        </w:tc>
        <w:tc>
          <w:tcPr>
            <w:tcW w:w="1425" w:type="dxa"/>
            <w:tcBorders>
              <w:top w:val="nil"/>
              <w:left w:val="nil"/>
              <w:bottom w:val="single" w:color="000000" w:sz="8" w:space="0"/>
              <w:right w:val="single" w:color="000000" w:sz="8" w:space="0"/>
            </w:tcBorders>
            <w:shd w:val="clear" w:color="auto" w:fill="auto"/>
            <w:vAlign w:val="center"/>
          </w:tcPr>
          <w:p w14:paraId="1584238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-564,499</w:t>
            </w:r>
          </w:p>
        </w:tc>
        <w:tc>
          <w:tcPr>
            <w:tcW w:w="1375" w:type="dxa"/>
            <w:tcBorders>
              <w:top w:val="nil"/>
              <w:left w:val="nil"/>
              <w:bottom w:val="single" w:color="000000" w:sz="8" w:space="0"/>
              <w:right w:val="single" w:color="000000" w:sz="8" w:space="0"/>
            </w:tcBorders>
            <w:shd w:val="clear" w:color="auto" w:fill="auto"/>
            <w:vAlign w:val="center"/>
          </w:tcPr>
          <w:p w14:paraId="7BB2704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190,041</w:t>
            </w:r>
          </w:p>
        </w:tc>
      </w:tr>
      <w:tr w14:paraId="02A2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4EA2BB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2152" w:type="dxa"/>
            <w:tcBorders>
              <w:top w:val="nil"/>
              <w:left w:val="nil"/>
              <w:bottom w:val="single" w:color="000000" w:sz="8" w:space="0"/>
              <w:right w:val="single" w:color="000000" w:sz="8" w:space="0"/>
            </w:tcBorders>
            <w:shd w:val="clear" w:color="auto" w:fill="auto"/>
            <w:noWrap/>
            <w:vAlign w:val="center"/>
          </w:tcPr>
          <w:p w14:paraId="3381556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严伟</w:t>
            </w:r>
          </w:p>
        </w:tc>
        <w:tc>
          <w:tcPr>
            <w:tcW w:w="1463" w:type="dxa"/>
            <w:tcBorders>
              <w:top w:val="nil"/>
              <w:left w:val="nil"/>
              <w:bottom w:val="single" w:color="000000" w:sz="8" w:space="0"/>
              <w:right w:val="single" w:color="000000" w:sz="8" w:space="0"/>
            </w:tcBorders>
            <w:shd w:val="clear" w:color="auto" w:fill="auto"/>
            <w:noWrap/>
            <w:vAlign w:val="center"/>
          </w:tcPr>
          <w:p w14:paraId="1E36928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880,427</w:t>
            </w:r>
          </w:p>
        </w:tc>
        <w:tc>
          <w:tcPr>
            <w:tcW w:w="1462" w:type="dxa"/>
            <w:tcBorders>
              <w:top w:val="nil"/>
              <w:left w:val="nil"/>
              <w:bottom w:val="single" w:color="000000" w:sz="8" w:space="0"/>
              <w:right w:val="single" w:color="000000" w:sz="8" w:space="0"/>
            </w:tcBorders>
            <w:shd w:val="clear" w:color="auto" w:fill="auto"/>
            <w:vAlign w:val="center"/>
          </w:tcPr>
          <w:p w14:paraId="4574EDA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146C737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-619,145</w:t>
            </w:r>
          </w:p>
        </w:tc>
        <w:tc>
          <w:tcPr>
            <w:tcW w:w="1375" w:type="dxa"/>
            <w:tcBorders>
              <w:top w:val="nil"/>
              <w:left w:val="nil"/>
              <w:bottom w:val="single" w:color="000000" w:sz="8" w:space="0"/>
              <w:right w:val="single" w:color="000000" w:sz="8" w:space="0"/>
            </w:tcBorders>
            <w:shd w:val="clear" w:color="auto" w:fill="auto"/>
            <w:vAlign w:val="center"/>
          </w:tcPr>
          <w:p w14:paraId="7FA9C07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261,282</w:t>
            </w:r>
          </w:p>
        </w:tc>
      </w:tr>
      <w:tr w14:paraId="32F1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2E0E16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2152" w:type="dxa"/>
            <w:tcBorders>
              <w:top w:val="nil"/>
              <w:left w:val="nil"/>
              <w:bottom w:val="single" w:color="000000" w:sz="8" w:space="0"/>
              <w:right w:val="single" w:color="000000" w:sz="8" w:space="0"/>
            </w:tcBorders>
            <w:shd w:val="clear" w:color="auto" w:fill="auto"/>
            <w:noWrap/>
            <w:vAlign w:val="center"/>
          </w:tcPr>
          <w:p w14:paraId="2D321BA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南通南京大学材料工程技术研究院</w:t>
            </w:r>
          </w:p>
        </w:tc>
        <w:tc>
          <w:tcPr>
            <w:tcW w:w="1463" w:type="dxa"/>
            <w:tcBorders>
              <w:top w:val="nil"/>
              <w:left w:val="nil"/>
              <w:bottom w:val="single" w:color="000000" w:sz="8" w:space="0"/>
              <w:right w:val="single" w:color="000000" w:sz="8" w:space="0"/>
            </w:tcBorders>
            <w:shd w:val="clear" w:color="auto" w:fill="auto"/>
            <w:noWrap/>
            <w:vAlign w:val="center"/>
          </w:tcPr>
          <w:p w14:paraId="2CC1CA0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740,508</w:t>
            </w:r>
          </w:p>
        </w:tc>
        <w:tc>
          <w:tcPr>
            <w:tcW w:w="1462" w:type="dxa"/>
            <w:tcBorders>
              <w:top w:val="nil"/>
              <w:left w:val="nil"/>
              <w:bottom w:val="single" w:color="000000" w:sz="8" w:space="0"/>
              <w:right w:val="single" w:color="000000" w:sz="8" w:space="0"/>
            </w:tcBorders>
            <w:shd w:val="clear" w:color="auto" w:fill="auto"/>
            <w:vAlign w:val="center"/>
          </w:tcPr>
          <w:p w14:paraId="516556D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401480A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-740,508</w:t>
            </w:r>
          </w:p>
        </w:tc>
        <w:tc>
          <w:tcPr>
            <w:tcW w:w="1375" w:type="dxa"/>
            <w:tcBorders>
              <w:top w:val="nil"/>
              <w:left w:val="nil"/>
              <w:bottom w:val="single" w:color="000000" w:sz="8" w:space="0"/>
              <w:right w:val="single" w:color="000000" w:sz="8" w:space="0"/>
            </w:tcBorders>
            <w:shd w:val="clear" w:color="auto" w:fill="auto"/>
            <w:vAlign w:val="center"/>
          </w:tcPr>
          <w:p w14:paraId="3E4BB6A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6077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1D33C1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2152" w:type="dxa"/>
            <w:tcBorders>
              <w:top w:val="nil"/>
              <w:left w:val="nil"/>
              <w:bottom w:val="single" w:color="000000" w:sz="8" w:space="0"/>
              <w:right w:val="single" w:color="000000" w:sz="8" w:space="0"/>
            </w:tcBorders>
            <w:shd w:val="clear" w:color="auto" w:fill="auto"/>
            <w:noWrap/>
            <w:vAlign w:val="center"/>
          </w:tcPr>
          <w:p w14:paraId="282B7D0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邢东剑</w:t>
            </w:r>
          </w:p>
        </w:tc>
        <w:tc>
          <w:tcPr>
            <w:tcW w:w="1463" w:type="dxa"/>
            <w:tcBorders>
              <w:top w:val="nil"/>
              <w:left w:val="nil"/>
              <w:bottom w:val="single" w:color="000000" w:sz="8" w:space="0"/>
              <w:right w:val="single" w:color="000000" w:sz="8" w:space="0"/>
            </w:tcBorders>
            <w:shd w:val="clear" w:color="auto" w:fill="auto"/>
            <w:noWrap/>
            <w:vAlign w:val="center"/>
          </w:tcPr>
          <w:p w14:paraId="35307E3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642,346</w:t>
            </w:r>
          </w:p>
        </w:tc>
        <w:tc>
          <w:tcPr>
            <w:tcW w:w="1462" w:type="dxa"/>
            <w:tcBorders>
              <w:top w:val="nil"/>
              <w:left w:val="nil"/>
              <w:bottom w:val="single" w:color="000000" w:sz="8" w:space="0"/>
              <w:right w:val="single" w:color="000000" w:sz="8" w:space="0"/>
            </w:tcBorders>
            <w:shd w:val="clear" w:color="auto" w:fill="auto"/>
            <w:vAlign w:val="center"/>
          </w:tcPr>
          <w:p w14:paraId="4860F8D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-136,870</w:t>
            </w:r>
          </w:p>
        </w:tc>
        <w:tc>
          <w:tcPr>
            <w:tcW w:w="1425" w:type="dxa"/>
            <w:tcBorders>
              <w:top w:val="nil"/>
              <w:left w:val="nil"/>
              <w:bottom w:val="single" w:color="000000" w:sz="8" w:space="0"/>
              <w:right w:val="single" w:color="000000" w:sz="8" w:space="0"/>
            </w:tcBorders>
            <w:shd w:val="clear" w:color="auto" w:fill="auto"/>
            <w:vAlign w:val="center"/>
          </w:tcPr>
          <w:p w14:paraId="465BBEA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-378,166</w:t>
            </w:r>
          </w:p>
        </w:tc>
        <w:tc>
          <w:tcPr>
            <w:tcW w:w="1375" w:type="dxa"/>
            <w:tcBorders>
              <w:top w:val="nil"/>
              <w:left w:val="nil"/>
              <w:bottom w:val="single" w:color="000000" w:sz="8" w:space="0"/>
              <w:right w:val="single" w:color="000000" w:sz="8" w:space="0"/>
            </w:tcBorders>
            <w:shd w:val="clear" w:color="auto" w:fill="auto"/>
            <w:vAlign w:val="center"/>
          </w:tcPr>
          <w:p w14:paraId="29BCA58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127,310</w:t>
            </w:r>
          </w:p>
        </w:tc>
      </w:tr>
      <w:tr w14:paraId="6AE27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4F63AB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2152" w:type="dxa"/>
            <w:tcBorders>
              <w:top w:val="nil"/>
              <w:left w:val="nil"/>
              <w:bottom w:val="single" w:color="000000" w:sz="8" w:space="0"/>
              <w:right w:val="single" w:color="000000" w:sz="8" w:space="0"/>
            </w:tcBorders>
            <w:shd w:val="clear" w:color="auto" w:fill="auto"/>
            <w:noWrap/>
            <w:vAlign w:val="center"/>
          </w:tcPr>
          <w:p w14:paraId="08EE900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李龙勤</w:t>
            </w:r>
          </w:p>
        </w:tc>
        <w:tc>
          <w:tcPr>
            <w:tcW w:w="1463" w:type="dxa"/>
            <w:tcBorders>
              <w:top w:val="nil"/>
              <w:left w:val="nil"/>
              <w:bottom w:val="single" w:color="000000" w:sz="8" w:space="0"/>
              <w:right w:val="single" w:color="000000" w:sz="8" w:space="0"/>
            </w:tcBorders>
            <w:shd w:val="clear" w:color="auto" w:fill="auto"/>
            <w:noWrap/>
            <w:vAlign w:val="center"/>
          </w:tcPr>
          <w:p w14:paraId="1D272DF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586,951</w:t>
            </w:r>
          </w:p>
        </w:tc>
        <w:tc>
          <w:tcPr>
            <w:tcW w:w="1462" w:type="dxa"/>
            <w:tcBorders>
              <w:top w:val="nil"/>
              <w:left w:val="nil"/>
              <w:bottom w:val="single" w:color="000000" w:sz="8" w:space="0"/>
              <w:right w:val="single" w:color="000000" w:sz="8" w:space="0"/>
            </w:tcBorders>
            <w:shd w:val="clear" w:color="auto" w:fill="auto"/>
            <w:vAlign w:val="center"/>
          </w:tcPr>
          <w:p w14:paraId="7B2C513E">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01E8F3D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-412,764</w:t>
            </w:r>
          </w:p>
        </w:tc>
        <w:tc>
          <w:tcPr>
            <w:tcW w:w="1375" w:type="dxa"/>
            <w:tcBorders>
              <w:top w:val="nil"/>
              <w:left w:val="nil"/>
              <w:bottom w:val="single" w:color="000000" w:sz="8" w:space="0"/>
              <w:right w:val="single" w:color="000000" w:sz="8" w:space="0"/>
            </w:tcBorders>
            <w:shd w:val="clear" w:color="auto" w:fill="auto"/>
            <w:vAlign w:val="center"/>
          </w:tcPr>
          <w:p w14:paraId="6127CCD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174,187</w:t>
            </w:r>
          </w:p>
        </w:tc>
      </w:tr>
      <w:tr w14:paraId="5104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4DB866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2152" w:type="dxa"/>
            <w:tcBorders>
              <w:top w:val="nil"/>
              <w:left w:val="nil"/>
              <w:bottom w:val="single" w:color="000000" w:sz="8" w:space="0"/>
              <w:right w:val="single" w:color="000000" w:sz="8" w:space="0"/>
            </w:tcBorders>
            <w:shd w:val="clear" w:color="auto" w:fill="auto"/>
            <w:noWrap/>
            <w:vAlign w:val="center"/>
          </w:tcPr>
          <w:p w14:paraId="56FE1BB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陆燕</w:t>
            </w:r>
          </w:p>
        </w:tc>
        <w:tc>
          <w:tcPr>
            <w:tcW w:w="1463" w:type="dxa"/>
            <w:tcBorders>
              <w:top w:val="nil"/>
              <w:left w:val="nil"/>
              <w:bottom w:val="single" w:color="000000" w:sz="8" w:space="0"/>
              <w:right w:val="single" w:color="000000" w:sz="8" w:space="0"/>
            </w:tcBorders>
            <w:shd w:val="clear" w:color="auto" w:fill="auto"/>
            <w:noWrap/>
            <w:vAlign w:val="center"/>
          </w:tcPr>
          <w:p w14:paraId="72A1454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564,124</w:t>
            </w:r>
          </w:p>
        </w:tc>
        <w:tc>
          <w:tcPr>
            <w:tcW w:w="1462" w:type="dxa"/>
            <w:tcBorders>
              <w:top w:val="nil"/>
              <w:left w:val="nil"/>
              <w:bottom w:val="single" w:color="000000" w:sz="8" w:space="0"/>
              <w:right w:val="single" w:color="000000" w:sz="8" w:space="0"/>
            </w:tcBorders>
            <w:shd w:val="clear" w:color="auto" w:fill="auto"/>
            <w:vAlign w:val="center"/>
          </w:tcPr>
          <w:p w14:paraId="34AB11B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-241,464</w:t>
            </w:r>
          </w:p>
        </w:tc>
        <w:tc>
          <w:tcPr>
            <w:tcW w:w="1425" w:type="dxa"/>
            <w:tcBorders>
              <w:top w:val="nil"/>
              <w:left w:val="nil"/>
              <w:bottom w:val="single" w:color="000000" w:sz="8" w:space="0"/>
              <w:right w:val="single" w:color="000000" w:sz="8" w:space="0"/>
            </w:tcBorders>
            <w:shd w:val="clear" w:color="auto" w:fill="auto"/>
            <w:vAlign w:val="center"/>
          </w:tcPr>
          <w:p w14:paraId="60EDF9B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-238,297</w:t>
            </w:r>
          </w:p>
        </w:tc>
        <w:tc>
          <w:tcPr>
            <w:tcW w:w="1375" w:type="dxa"/>
            <w:tcBorders>
              <w:top w:val="nil"/>
              <w:left w:val="nil"/>
              <w:bottom w:val="single" w:color="000000" w:sz="8" w:space="0"/>
              <w:right w:val="single" w:color="000000" w:sz="8" w:space="0"/>
            </w:tcBorders>
            <w:shd w:val="clear" w:color="auto" w:fill="auto"/>
            <w:vAlign w:val="center"/>
          </w:tcPr>
          <w:p w14:paraId="16B2BB3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84,363</w:t>
            </w:r>
          </w:p>
        </w:tc>
      </w:tr>
      <w:tr w14:paraId="6923C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339F56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2152" w:type="dxa"/>
            <w:tcBorders>
              <w:top w:val="nil"/>
              <w:left w:val="nil"/>
              <w:bottom w:val="single" w:color="000000" w:sz="8" w:space="0"/>
              <w:right w:val="single" w:color="000000" w:sz="8" w:space="0"/>
            </w:tcBorders>
            <w:shd w:val="clear" w:color="auto" w:fill="auto"/>
            <w:noWrap/>
            <w:vAlign w:val="center"/>
          </w:tcPr>
          <w:p w14:paraId="0F4316B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王郑宏</w:t>
            </w:r>
          </w:p>
        </w:tc>
        <w:tc>
          <w:tcPr>
            <w:tcW w:w="1463" w:type="dxa"/>
            <w:tcBorders>
              <w:top w:val="nil"/>
              <w:left w:val="nil"/>
              <w:bottom w:val="single" w:color="000000" w:sz="8" w:space="0"/>
              <w:right w:val="single" w:color="000000" w:sz="8" w:space="0"/>
            </w:tcBorders>
            <w:shd w:val="clear" w:color="auto" w:fill="auto"/>
            <w:noWrap/>
            <w:vAlign w:val="center"/>
          </w:tcPr>
          <w:p w14:paraId="258886C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564,124</w:t>
            </w:r>
          </w:p>
        </w:tc>
        <w:tc>
          <w:tcPr>
            <w:tcW w:w="1462" w:type="dxa"/>
            <w:tcBorders>
              <w:top w:val="nil"/>
              <w:left w:val="nil"/>
              <w:bottom w:val="single" w:color="000000" w:sz="8" w:space="0"/>
              <w:right w:val="single" w:color="000000" w:sz="8" w:space="0"/>
            </w:tcBorders>
            <w:shd w:val="clear" w:color="auto" w:fill="auto"/>
            <w:vAlign w:val="center"/>
          </w:tcPr>
          <w:p w14:paraId="262F522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-241,464</w:t>
            </w:r>
          </w:p>
        </w:tc>
        <w:tc>
          <w:tcPr>
            <w:tcW w:w="1425" w:type="dxa"/>
            <w:tcBorders>
              <w:top w:val="nil"/>
              <w:left w:val="nil"/>
              <w:bottom w:val="single" w:color="000000" w:sz="8" w:space="0"/>
              <w:right w:val="single" w:color="000000" w:sz="8" w:space="0"/>
            </w:tcBorders>
            <w:shd w:val="clear" w:color="auto" w:fill="auto"/>
            <w:vAlign w:val="center"/>
          </w:tcPr>
          <w:p w14:paraId="08F9622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-238,297</w:t>
            </w:r>
          </w:p>
        </w:tc>
        <w:tc>
          <w:tcPr>
            <w:tcW w:w="1375" w:type="dxa"/>
            <w:tcBorders>
              <w:top w:val="nil"/>
              <w:left w:val="nil"/>
              <w:bottom w:val="single" w:color="000000" w:sz="8" w:space="0"/>
              <w:right w:val="single" w:color="000000" w:sz="8" w:space="0"/>
            </w:tcBorders>
            <w:shd w:val="clear" w:color="auto" w:fill="auto"/>
            <w:vAlign w:val="center"/>
          </w:tcPr>
          <w:p w14:paraId="4754DB7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84,363</w:t>
            </w:r>
          </w:p>
        </w:tc>
      </w:tr>
      <w:tr w14:paraId="26D8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6EB10E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2152" w:type="dxa"/>
            <w:tcBorders>
              <w:top w:val="nil"/>
              <w:left w:val="nil"/>
              <w:bottom w:val="single" w:color="000000" w:sz="8" w:space="0"/>
              <w:right w:val="single" w:color="000000" w:sz="8" w:space="0"/>
            </w:tcBorders>
            <w:shd w:val="clear" w:color="auto" w:fill="auto"/>
            <w:noWrap/>
            <w:vAlign w:val="center"/>
          </w:tcPr>
          <w:p w14:paraId="21F68C7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明亮</w:t>
            </w:r>
          </w:p>
        </w:tc>
        <w:tc>
          <w:tcPr>
            <w:tcW w:w="1463" w:type="dxa"/>
            <w:tcBorders>
              <w:top w:val="nil"/>
              <w:left w:val="nil"/>
              <w:bottom w:val="single" w:color="000000" w:sz="8" w:space="0"/>
              <w:right w:val="single" w:color="000000" w:sz="8" w:space="0"/>
            </w:tcBorders>
            <w:shd w:val="clear" w:color="auto" w:fill="auto"/>
            <w:noWrap/>
            <w:vAlign w:val="center"/>
          </w:tcPr>
          <w:p w14:paraId="085ACE0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197,819</w:t>
            </w:r>
          </w:p>
        </w:tc>
        <w:tc>
          <w:tcPr>
            <w:tcW w:w="1462" w:type="dxa"/>
            <w:tcBorders>
              <w:top w:val="nil"/>
              <w:left w:val="nil"/>
              <w:bottom w:val="single" w:color="000000" w:sz="8" w:space="0"/>
              <w:right w:val="single" w:color="000000" w:sz="8" w:space="0"/>
            </w:tcBorders>
            <w:shd w:val="clear" w:color="auto" w:fill="auto"/>
            <w:vAlign w:val="center"/>
          </w:tcPr>
          <w:p w14:paraId="1CE5415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62CFFAF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-197,819</w:t>
            </w:r>
          </w:p>
        </w:tc>
        <w:tc>
          <w:tcPr>
            <w:tcW w:w="1375" w:type="dxa"/>
            <w:tcBorders>
              <w:top w:val="nil"/>
              <w:left w:val="nil"/>
              <w:bottom w:val="single" w:color="000000" w:sz="8" w:space="0"/>
              <w:right w:val="single" w:color="000000" w:sz="8" w:space="0"/>
            </w:tcBorders>
            <w:shd w:val="clear" w:color="auto" w:fill="auto"/>
            <w:vAlign w:val="center"/>
          </w:tcPr>
          <w:p w14:paraId="186EF61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462C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6753B1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2152" w:type="dxa"/>
            <w:tcBorders>
              <w:top w:val="nil"/>
              <w:left w:val="nil"/>
              <w:bottom w:val="single" w:color="000000" w:sz="8" w:space="0"/>
              <w:right w:val="single" w:color="000000" w:sz="8" w:space="0"/>
            </w:tcBorders>
            <w:shd w:val="clear" w:color="auto" w:fill="auto"/>
            <w:noWrap/>
            <w:vAlign w:val="center"/>
          </w:tcPr>
          <w:p w14:paraId="7731E46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李德明</w:t>
            </w:r>
          </w:p>
        </w:tc>
        <w:tc>
          <w:tcPr>
            <w:tcW w:w="1463" w:type="dxa"/>
            <w:tcBorders>
              <w:top w:val="nil"/>
              <w:left w:val="nil"/>
              <w:bottom w:val="single" w:color="000000" w:sz="8" w:space="0"/>
              <w:right w:val="single" w:color="000000" w:sz="8" w:space="0"/>
            </w:tcBorders>
            <w:shd w:val="clear" w:color="auto" w:fill="auto"/>
            <w:noWrap/>
            <w:vAlign w:val="center"/>
          </w:tcPr>
          <w:p w14:paraId="04AE344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195,532</w:t>
            </w:r>
          </w:p>
        </w:tc>
        <w:tc>
          <w:tcPr>
            <w:tcW w:w="1462" w:type="dxa"/>
            <w:tcBorders>
              <w:top w:val="nil"/>
              <w:left w:val="nil"/>
              <w:bottom w:val="single" w:color="000000" w:sz="8" w:space="0"/>
              <w:right w:val="single" w:color="000000" w:sz="8" w:space="0"/>
            </w:tcBorders>
            <w:shd w:val="clear" w:color="auto" w:fill="auto"/>
            <w:vAlign w:val="center"/>
          </w:tcPr>
          <w:p w14:paraId="44F2D10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748B274B">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-195,532</w:t>
            </w:r>
          </w:p>
        </w:tc>
        <w:tc>
          <w:tcPr>
            <w:tcW w:w="1375" w:type="dxa"/>
            <w:tcBorders>
              <w:top w:val="nil"/>
              <w:left w:val="nil"/>
              <w:bottom w:val="single" w:color="000000" w:sz="8" w:space="0"/>
              <w:right w:val="single" w:color="000000" w:sz="8" w:space="0"/>
            </w:tcBorders>
            <w:shd w:val="clear" w:color="auto" w:fill="auto"/>
            <w:vAlign w:val="center"/>
          </w:tcPr>
          <w:p w14:paraId="4F6A761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4539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486146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2152" w:type="dxa"/>
            <w:tcBorders>
              <w:top w:val="nil"/>
              <w:left w:val="nil"/>
              <w:bottom w:val="single" w:color="000000" w:sz="8" w:space="0"/>
              <w:right w:val="single" w:color="000000" w:sz="8" w:space="0"/>
            </w:tcBorders>
            <w:shd w:val="clear" w:color="auto" w:fill="auto"/>
            <w:noWrap/>
            <w:vAlign w:val="center"/>
          </w:tcPr>
          <w:p w14:paraId="3AE3BB4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张宇田</w:t>
            </w:r>
          </w:p>
        </w:tc>
        <w:tc>
          <w:tcPr>
            <w:tcW w:w="1463" w:type="dxa"/>
            <w:tcBorders>
              <w:top w:val="nil"/>
              <w:left w:val="nil"/>
              <w:bottom w:val="single" w:color="000000" w:sz="8" w:space="0"/>
              <w:right w:val="single" w:color="000000" w:sz="8" w:space="0"/>
            </w:tcBorders>
            <w:shd w:val="clear" w:color="auto" w:fill="auto"/>
            <w:noWrap/>
            <w:vAlign w:val="center"/>
          </w:tcPr>
          <w:p w14:paraId="4B261FF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157,798</w:t>
            </w:r>
          </w:p>
        </w:tc>
        <w:tc>
          <w:tcPr>
            <w:tcW w:w="1462" w:type="dxa"/>
            <w:tcBorders>
              <w:top w:val="nil"/>
              <w:left w:val="nil"/>
              <w:bottom w:val="single" w:color="000000" w:sz="8" w:space="0"/>
              <w:right w:val="single" w:color="000000" w:sz="8" w:space="0"/>
            </w:tcBorders>
            <w:shd w:val="clear" w:color="auto" w:fill="auto"/>
            <w:vAlign w:val="center"/>
          </w:tcPr>
          <w:p w14:paraId="73A63A98">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1E09C03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-157,798</w:t>
            </w:r>
          </w:p>
        </w:tc>
        <w:tc>
          <w:tcPr>
            <w:tcW w:w="1375" w:type="dxa"/>
            <w:tcBorders>
              <w:top w:val="nil"/>
              <w:left w:val="nil"/>
              <w:bottom w:val="single" w:color="000000" w:sz="8" w:space="0"/>
              <w:right w:val="single" w:color="000000" w:sz="8" w:space="0"/>
            </w:tcBorders>
            <w:shd w:val="clear" w:color="auto" w:fill="auto"/>
            <w:vAlign w:val="center"/>
          </w:tcPr>
          <w:p w14:paraId="677E030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314D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5A87F8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2152" w:type="dxa"/>
            <w:tcBorders>
              <w:top w:val="nil"/>
              <w:left w:val="nil"/>
              <w:bottom w:val="single" w:color="000000" w:sz="8" w:space="0"/>
              <w:right w:val="single" w:color="000000" w:sz="8" w:space="0"/>
            </w:tcBorders>
            <w:shd w:val="clear" w:color="auto" w:fill="auto"/>
            <w:noWrap/>
            <w:vAlign w:val="center"/>
          </w:tcPr>
          <w:p w14:paraId="667A3B1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施卫国</w:t>
            </w:r>
          </w:p>
        </w:tc>
        <w:tc>
          <w:tcPr>
            <w:tcW w:w="1463" w:type="dxa"/>
            <w:tcBorders>
              <w:top w:val="nil"/>
              <w:left w:val="nil"/>
              <w:bottom w:val="single" w:color="000000" w:sz="8" w:space="0"/>
              <w:right w:val="single" w:color="000000" w:sz="8" w:space="0"/>
            </w:tcBorders>
            <w:shd w:val="clear" w:color="auto" w:fill="auto"/>
            <w:noWrap/>
            <w:vAlign w:val="center"/>
          </w:tcPr>
          <w:p w14:paraId="2721E2B9">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114,346</w:t>
            </w:r>
          </w:p>
        </w:tc>
        <w:tc>
          <w:tcPr>
            <w:tcW w:w="1462" w:type="dxa"/>
            <w:tcBorders>
              <w:top w:val="nil"/>
              <w:left w:val="nil"/>
              <w:bottom w:val="single" w:color="000000" w:sz="8" w:space="0"/>
              <w:right w:val="single" w:color="000000" w:sz="8" w:space="0"/>
            </w:tcBorders>
            <w:shd w:val="clear" w:color="auto" w:fill="auto"/>
            <w:vAlign w:val="center"/>
          </w:tcPr>
          <w:p w14:paraId="47018DD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456B0EC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-114,346</w:t>
            </w:r>
          </w:p>
        </w:tc>
        <w:tc>
          <w:tcPr>
            <w:tcW w:w="1375" w:type="dxa"/>
            <w:tcBorders>
              <w:top w:val="nil"/>
              <w:left w:val="nil"/>
              <w:bottom w:val="single" w:color="000000" w:sz="8" w:space="0"/>
              <w:right w:val="single" w:color="000000" w:sz="8" w:space="0"/>
            </w:tcBorders>
            <w:shd w:val="clear" w:color="auto" w:fill="auto"/>
            <w:vAlign w:val="center"/>
          </w:tcPr>
          <w:p w14:paraId="6450A1B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3F1A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7587BE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2152" w:type="dxa"/>
            <w:tcBorders>
              <w:top w:val="nil"/>
              <w:left w:val="nil"/>
              <w:bottom w:val="single" w:color="000000" w:sz="8" w:space="0"/>
              <w:right w:val="single" w:color="000000" w:sz="8" w:space="0"/>
            </w:tcBorders>
            <w:shd w:val="clear" w:color="auto" w:fill="auto"/>
            <w:noWrap/>
            <w:vAlign w:val="center"/>
          </w:tcPr>
          <w:p w14:paraId="2FAE212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南通海维精密机械有限公司</w:t>
            </w:r>
          </w:p>
        </w:tc>
        <w:tc>
          <w:tcPr>
            <w:tcW w:w="1463" w:type="dxa"/>
            <w:tcBorders>
              <w:top w:val="nil"/>
              <w:left w:val="nil"/>
              <w:bottom w:val="single" w:color="000000" w:sz="8" w:space="0"/>
              <w:right w:val="single" w:color="000000" w:sz="8" w:space="0"/>
            </w:tcBorders>
            <w:shd w:val="clear" w:color="auto" w:fill="auto"/>
            <w:noWrap/>
            <w:vAlign w:val="center"/>
          </w:tcPr>
          <w:p w14:paraId="35428A65">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99,024</w:t>
            </w:r>
          </w:p>
        </w:tc>
        <w:tc>
          <w:tcPr>
            <w:tcW w:w="1462" w:type="dxa"/>
            <w:tcBorders>
              <w:top w:val="nil"/>
              <w:left w:val="nil"/>
              <w:bottom w:val="single" w:color="000000" w:sz="8" w:space="0"/>
              <w:right w:val="single" w:color="000000" w:sz="8" w:space="0"/>
            </w:tcBorders>
            <w:shd w:val="clear" w:color="auto" w:fill="auto"/>
            <w:vAlign w:val="center"/>
          </w:tcPr>
          <w:p w14:paraId="5343ECA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4DF2A4FF">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-99,024</w:t>
            </w:r>
          </w:p>
        </w:tc>
        <w:tc>
          <w:tcPr>
            <w:tcW w:w="1375" w:type="dxa"/>
            <w:tcBorders>
              <w:top w:val="nil"/>
              <w:left w:val="nil"/>
              <w:bottom w:val="single" w:color="000000" w:sz="8" w:space="0"/>
              <w:right w:val="single" w:color="000000" w:sz="8" w:space="0"/>
            </w:tcBorders>
            <w:shd w:val="clear" w:color="auto" w:fill="auto"/>
            <w:vAlign w:val="center"/>
          </w:tcPr>
          <w:p w14:paraId="65F747C1">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1E13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dxa"/>
            <w:tcBorders>
              <w:top w:val="nil"/>
              <w:left w:val="single" w:color="000000" w:sz="8" w:space="0"/>
              <w:bottom w:val="single" w:color="000000" w:sz="8" w:space="0"/>
              <w:right w:val="single" w:color="000000" w:sz="8" w:space="0"/>
            </w:tcBorders>
            <w:shd w:val="clear" w:color="auto" w:fill="auto"/>
            <w:noWrap/>
            <w:vAlign w:val="center"/>
          </w:tcPr>
          <w:p w14:paraId="0CA6F3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2152" w:type="dxa"/>
            <w:tcBorders>
              <w:top w:val="nil"/>
              <w:left w:val="nil"/>
              <w:bottom w:val="single" w:color="000000" w:sz="8" w:space="0"/>
              <w:right w:val="single" w:color="000000" w:sz="8" w:space="0"/>
            </w:tcBorders>
            <w:shd w:val="clear" w:color="auto" w:fill="auto"/>
            <w:noWrap/>
            <w:vAlign w:val="center"/>
          </w:tcPr>
          <w:p w14:paraId="0042F4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肖林</w:t>
            </w:r>
          </w:p>
        </w:tc>
        <w:tc>
          <w:tcPr>
            <w:tcW w:w="1463" w:type="dxa"/>
            <w:tcBorders>
              <w:top w:val="nil"/>
              <w:left w:val="nil"/>
              <w:bottom w:val="single" w:color="000000" w:sz="8" w:space="0"/>
              <w:right w:val="single" w:color="000000" w:sz="8" w:space="0"/>
            </w:tcBorders>
            <w:shd w:val="clear" w:color="auto" w:fill="auto"/>
            <w:noWrap/>
            <w:vAlign w:val="center"/>
          </w:tcPr>
          <w:p w14:paraId="71E7705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98,566</w:t>
            </w:r>
          </w:p>
        </w:tc>
        <w:tc>
          <w:tcPr>
            <w:tcW w:w="1462" w:type="dxa"/>
            <w:tcBorders>
              <w:top w:val="nil"/>
              <w:left w:val="nil"/>
              <w:bottom w:val="single" w:color="000000" w:sz="8" w:space="0"/>
              <w:right w:val="single" w:color="000000" w:sz="8" w:space="0"/>
            </w:tcBorders>
            <w:shd w:val="clear" w:color="auto" w:fill="auto"/>
            <w:vAlign w:val="center"/>
          </w:tcPr>
          <w:p w14:paraId="4C529D5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single" w:color="000000" w:sz="8" w:space="0"/>
              <w:right w:val="single" w:color="000000" w:sz="8" w:space="0"/>
            </w:tcBorders>
            <w:shd w:val="clear" w:color="auto" w:fill="auto"/>
            <w:vAlign w:val="center"/>
          </w:tcPr>
          <w:p w14:paraId="64E92EFD">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-98,566</w:t>
            </w:r>
          </w:p>
        </w:tc>
        <w:tc>
          <w:tcPr>
            <w:tcW w:w="1375" w:type="dxa"/>
            <w:tcBorders>
              <w:top w:val="nil"/>
              <w:left w:val="nil"/>
              <w:bottom w:val="single" w:color="000000" w:sz="8" w:space="0"/>
              <w:right w:val="single" w:color="000000" w:sz="8" w:space="0"/>
            </w:tcBorders>
            <w:shd w:val="clear" w:color="auto" w:fill="auto"/>
            <w:vAlign w:val="center"/>
          </w:tcPr>
          <w:p w14:paraId="1B450F9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2C53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nil"/>
              <w:left w:val="single" w:color="000000" w:sz="8" w:space="0"/>
              <w:bottom w:val="nil"/>
              <w:right w:val="single" w:color="000000" w:sz="8" w:space="0"/>
            </w:tcBorders>
            <w:shd w:val="clear" w:color="auto" w:fill="auto"/>
            <w:noWrap/>
            <w:vAlign w:val="center"/>
          </w:tcPr>
          <w:p w14:paraId="6E0C4E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2152" w:type="dxa"/>
            <w:tcBorders>
              <w:top w:val="nil"/>
              <w:left w:val="nil"/>
              <w:bottom w:val="nil"/>
              <w:right w:val="single" w:color="000000" w:sz="8" w:space="0"/>
            </w:tcBorders>
            <w:shd w:val="clear" w:color="auto" w:fill="auto"/>
            <w:noWrap/>
            <w:vAlign w:val="center"/>
          </w:tcPr>
          <w:p w14:paraId="09A5FF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刘永好</w:t>
            </w:r>
          </w:p>
        </w:tc>
        <w:tc>
          <w:tcPr>
            <w:tcW w:w="1463" w:type="dxa"/>
            <w:tcBorders>
              <w:top w:val="nil"/>
              <w:left w:val="nil"/>
              <w:bottom w:val="nil"/>
              <w:right w:val="single" w:color="000000" w:sz="8" w:space="0"/>
            </w:tcBorders>
            <w:shd w:val="clear" w:color="auto" w:fill="auto"/>
            <w:noWrap/>
            <w:vAlign w:val="center"/>
          </w:tcPr>
          <w:p w14:paraId="45BE454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92,620</w:t>
            </w:r>
          </w:p>
        </w:tc>
        <w:tc>
          <w:tcPr>
            <w:tcW w:w="1462" w:type="dxa"/>
            <w:tcBorders>
              <w:top w:val="nil"/>
              <w:left w:val="nil"/>
              <w:bottom w:val="nil"/>
              <w:right w:val="single" w:color="000000" w:sz="8" w:space="0"/>
            </w:tcBorders>
            <w:shd w:val="clear" w:color="auto" w:fill="auto"/>
            <w:vAlign w:val="center"/>
          </w:tcPr>
          <w:p w14:paraId="35FA4C70">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425" w:type="dxa"/>
            <w:tcBorders>
              <w:top w:val="nil"/>
              <w:left w:val="nil"/>
              <w:bottom w:val="nil"/>
              <w:right w:val="single" w:color="000000" w:sz="8" w:space="0"/>
            </w:tcBorders>
            <w:shd w:val="clear" w:color="auto" w:fill="auto"/>
            <w:vAlign w:val="center"/>
          </w:tcPr>
          <w:p w14:paraId="39DE52CA">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-92,620</w:t>
            </w:r>
          </w:p>
        </w:tc>
        <w:tc>
          <w:tcPr>
            <w:tcW w:w="1375" w:type="dxa"/>
            <w:tcBorders>
              <w:top w:val="nil"/>
              <w:left w:val="nil"/>
              <w:bottom w:val="single" w:color="000000" w:sz="8" w:space="0"/>
              <w:right w:val="single" w:color="000000" w:sz="8" w:space="0"/>
            </w:tcBorders>
            <w:shd w:val="clear" w:color="auto" w:fill="auto"/>
            <w:vAlign w:val="center"/>
          </w:tcPr>
          <w:p w14:paraId="6F353C04">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498C7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79"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171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63" w:type="dxa"/>
            <w:tcBorders>
              <w:top w:val="single" w:color="000000" w:sz="8" w:space="0"/>
              <w:left w:val="nil"/>
              <w:bottom w:val="single" w:color="000000" w:sz="8" w:space="0"/>
              <w:right w:val="single" w:color="000000" w:sz="8" w:space="0"/>
            </w:tcBorders>
            <w:shd w:val="clear" w:color="auto" w:fill="auto"/>
            <w:noWrap/>
            <w:vAlign w:val="center"/>
          </w:tcPr>
          <w:p w14:paraId="1CEB711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746,679,587</w:t>
            </w:r>
          </w:p>
        </w:tc>
        <w:tc>
          <w:tcPr>
            <w:tcW w:w="1462" w:type="dxa"/>
            <w:tcBorders>
              <w:top w:val="single" w:color="000000" w:sz="8" w:space="0"/>
              <w:left w:val="nil"/>
              <w:bottom w:val="single" w:color="000000" w:sz="8" w:space="0"/>
              <w:right w:val="single" w:color="000000" w:sz="8" w:space="0"/>
            </w:tcBorders>
            <w:shd w:val="clear" w:color="auto" w:fill="auto"/>
            <w:noWrap/>
            <w:vAlign w:val="center"/>
          </w:tcPr>
          <w:p w14:paraId="722D0F03">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-110,172,172</w:t>
            </w:r>
          </w:p>
        </w:tc>
        <w:tc>
          <w:tcPr>
            <w:tcW w:w="1425" w:type="dxa"/>
            <w:tcBorders>
              <w:top w:val="single" w:color="000000" w:sz="8" w:space="0"/>
              <w:left w:val="nil"/>
              <w:bottom w:val="single" w:color="000000" w:sz="8" w:space="0"/>
              <w:right w:val="single" w:color="000000" w:sz="8" w:space="0"/>
            </w:tcBorders>
            <w:shd w:val="clear" w:color="auto" w:fill="auto"/>
            <w:noWrap/>
            <w:vAlign w:val="center"/>
          </w:tcPr>
          <w:p w14:paraId="58694A12">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-482,289,631</w:t>
            </w:r>
          </w:p>
        </w:tc>
        <w:tc>
          <w:tcPr>
            <w:tcW w:w="1375" w:type="dxa"/>
            <w:tcBorders>
              <w:top w:val="nil"/>
              <w:left w:val="nil"/>
              <w:bottom w:val="single" w:color="000000" w:sz="8" w:space="0"/>
              <w:right w:val="single" w:color="000000" w:sz="8" w:space="0"/>
            </w:tcBorders>
            <w:shd w:val="clear" w:color="auto" w:fill="auto"/>
            <w:vAlign w:val="center"/>
          </w:tcPr>
          <w:p w14:paraId="34B650C6">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154,217,784</w:t>
            </w:r>
          </w:p>
        </w:tc>
      </w:tr>
    </w:tbl>
    <w:p w14:paraId="5B8A9F8D">
      <w:pPr>
        <w:adjustRightInd w:val="0"/>
        <w:snapToGrid w:val="0"/>
        <w:spacing w:before="156" w:beforeLines="50" w:line="360" w:lineRule="auto"/>
        <w:ind w:firstLine="482" w:firstLineChars="200"/>
        <w:outlineLvl w:val="0"/>
        <w:rPr>
          <w:b/>
          <w:color w:val="000000"/>
          <w:sz w:val="24"/>
          <w:szCs w:val="24"/>
        </w:rPr>
      </w:pPr>
      <w:r>
        <w:rPr>
          <w:rFonts w:hint="eastAsia"/>
          <w:b/>
          <w:color w:val="000000"/>
          <w:sz w:val="24"/>
          <w:szCs w:val="24"/>
        </w:rPr>
        <w:t>二、本次申请解除限售股东的承诺履行情况及其他事项说明</w:t>
      </w:r>
    </w:p>
    <w:p w14:paraId="12669761">
      <w:pPr>
        <w:adjustRightInd w:val="0"/>
        <w:snapToGrid w:val="0"/>
        <w:spacing w:line="360" w:lineRule="auto"/>
        <w:ind w:firstLine="482" w:firstLineChars="200"/>
        <w:outlineLvl w:val="1"/>
        <w:rPr>
          <w:rFonts w:hint="eastAsia"/>
          <w:b/>
          <w:color w:val="000000"/>
          <w:sz w:val="24"/>
          <w:szCs w:val="24"/>
        </w:rPr>
      </w:pPr>
      <w:r>
        <w:rPr>
          <w:rFonts w:hint="eastAsia"/>
          <w:b/>
          <w:color w:val="000000"/>
          <w:sz w:val="24"/>
          <w:szCs w:val="24"/>
        </w:rPr>
        <w:t>（一）本次申请解除股份限售的承诺履行情况</w:t>
      </w:r>
    </w:p>
    <w:p w14:paraId="20859F8C">
      <w:pPr>
        <w:adjustRightInd w:val="0"/>
        <w:snapToGrid w:val="0"/>
        <w:spacing w:line="360" w:lineRule="auto"/>
        <w:ind w:firstLine="482" w:firstLineChars="200"/>
        <w:outlineLvl w:val="2"/>
        <w:rPr>
          <w:rFonts w:hint="eastAsia"/>
          <w:b/>
          <w:color w:val="000000"/>
          <w:sz w:val="24"/>
          <w:szCs w:val="24"/>
        </w:rPr>
      </w:pPr>
      <w:r>
        <w:rPr>
          <w:rFonts w:hint="eastAsia"/>
          <w:b/>
          <w:color w:val="000000"/>
          <w:sz w:val="24"/>
          <w:szCs w:val="24"/>
        </w:rPr>
        <w:t>1</w:t>
      </w:r>
      <w:r>
        <w:rPr>
          <w:rFonts w:hint="eastAsia"/>
          <w:b/>
          <w:color w:val="000000"/>
          <w:sz w:val="24"/>
          <w:szCs w:val="24"/>
          <w:lang w:eastAsia="zh-CN"/>
        </w:rPr>
        <w:t>.</w:t>
      </w:r>
      <w:r>
        <w:rPr>
          <w:rFonts w:hint="eastAsia"/>
          <w:b/>
          <w:color w:val="000000"/>
          <w:sz w:val="24"/>
          <w:szCs w:val="24"/>
        </w:rPr>
        <w:t>关于锁定期的承诺</w:t>
      </w:r>
    </w:p>
    <w:tbl>
      <w:tblPr>
        <w:tblStyle w:val="11"/>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49"/>
        <w:gridCol w:w="5812"/>
        <w:gridCol w:w="992"/>
        <w:gridCol w:w="994"/>
        <w:gridCol w:w="972"/>
      </w:tblGrid>
      <w:tr w14:paraId="6A3E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749" w:type="dxa"/>
            <w:shd w:val="clear" w:color="auto" w:fill="D7D7D7" w:themeFill="background1" w:themeFillShade="D8"/>
            <w:noWrap w:val="0"/>
            <w:vAlign w:val="center"/>
          </w:tcPr>
          <w:p w14:paraId="2BC562A7">
            <w:pPr>
              <w:ind w:left="-21" w:leftChars="-10" w:right="-21" w:rightChars="-10"/>
              <w:jc w:val="center"/>
              <w:rPr>
                <w:b/>
                <w:szCs w:val="21"/>
              </w:rPr>
            </w:pPr>
            <w:r>
              <w:rPr>
                <w:rFonts w:hint="eastAsia"/>
                <w:b/>
                <w:szCs w:val="21"/>
              </w:rPr>
              <w:t>承诺方</w:t>
            </w:r>
          </w:p>
        </w:tc>
        <w:tc>
          <w:tcPr>
            <w:tcW w:w="5812" w:type="dxa"/>
            <w:shd w:val="clear" w:color="auto" w:fill="D7D7D7" w:themeFill="background1" w:themeFillShade="D8"/>
            <w:noWrap w:val="0"/>
            <w:vAlign w:val="center"/>
          </w:tcPr>
          <w:p w14:paraId="3FB32EB9">
            <w:pPr>
              <w:ind w:left="-21" w:leftChars="-10" w:right="-21" w:rightChars="-10"/>
              <w:jc w:val="center"/>
              <w:rPr>
                <w:b/>
                <w:szCs w:val="21"/>
              </w:rPr>
            </w:pPr>
            <w:r>
              <w:rPr>
                <w:rFonts w:hint="eastAsia"/>
                <w:b/>
                <w:szCs w:val="21"/>
              </w:rPr>
              <w:t>承诺内容</w:t>
            </w:r>
          </w:p>
        </w:tc>
        <w:tc>
          <w:tcPr>
            <w:tcW w:w="992" w:type="dxa"/>
            <w:shd w:val="clear" w:color="auto" w:fill="D7D7D7" w:themeFill="background1" w:themeFillShade="D8"/>
            <w:noWrap w:val="0"/>
            <w:vAlign w:val="center"/>
          </w:tcPr>
          <w:p w14:paraId="3E32044B">
            <w:pPr>
              <w:ind w:left="-21" w:leftChars="-10" w:right="-21" w:rightChars="-10"/>
              <w:jc w:val="center"/>
              <w:rPr>
                <w:b/>
                <w:szCs w:val="21"/>
              </w:rPr>
            </w:pPr>
            <w:r>
              <w:rPr>
                <w:rFonts w:hint="eastAsia"/>
                <w:b/>
                <w:szCs w:val="21"/>
              </w:rPr>
              <w:t>承诺时间</w:t>
            </w:r>
          </w:p>
        </w:tc>
        <w:tc>
          <w:tcPr>
            <w:tcW w:w="994" w:type="dxa"/>
            <w:shd w:val="clear" w:color="auto" w:fill="D7D7D7" w:themeFill="background1" w:themeFillShade="D8"/>
            <w:noWrap w:val="0"/>
            <w:vAlign w:val="center"/>
          </w:tcPr>
          <w:p w14:paraId="1C874DE1">
            <w:pPr>
              <w:ind w:left="-21" w:leftChars="-10" w:right="-21" w:rightChars="-10"/>
              <w:jc w:val="center"/>
              <w:rPr>
                <w:b/>
                <w:szCs w:val="21"/>
              </w:rPr>
            </w:pPr>
            <w:r>
              <w:rPr>
                <w:rFonts w:hint="eastAsia"/>
                <w:b/>
                <w:szCs w:val="21"/>
              </w:rPr>
              <w:t>承诺期限</w:t>
            </w:r>
          </w:p>
        </w:tc>
        <w:tc>
          <w:tcPr>
            <w:tcW w:w="972" w:type="dxa"/>
            <w:shd w:val="clear" w:color="auto" w:fill="D7D7D7" w:themeFill="background1" w:themeFillShade="D8"/>
            <w:noWrap w:val="0"/>
            <w:vAlign w:val="center"/>
          </w:tcPr>
          <w:p w14:paraId="5238C9F7">
            <w:pPr>
              <w:ind w:left="-21" w:leftChars="-10" w:right="-21" w:rightChars="-10"/>
              <w:jc w:val="center"/>
              <w:rPr>
                <w:b/>
                <w:szCs w:val="21"/>
              </w:rPr>
            </w:pPr>
            <w:r>
              <w:rPr>
                <w:rFonts w:hint="eastAsia"/>
                <w:b/>
                <w:szCs w:val="21"/>
              </w:rPr>
              <w:t>履行情况</w:t>
            </w:r>
          </w:p>
        </w:tc>
      </w:tr>
      <w:tr w14:paraId="0EC6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49" w:type="dxa"/>
            <w:shd w:val="clear" w:color="auto" w:fill="FFFFFF"/>
            <w:noWrap w:val="0"/>
            <w:vAlign w:val="center"/>
          </w:tcPr>
          <w:p w14:paraId="5EAEF03E">
            <w:pPr>
              <w:ind w:left="-21" w:leftChars="-10" w:right="-21" w:rightChars="-10"/>
              <w:jc w:val="left"/>
              <w:rPr>
                <w:szCs w:val="21"/>
              </w:rPr>
            </w:pPr>
            <w:r>
              <w:rPr>
                <w:rFonts w:hint="eastAsia"/>
                <w:szCs w:val="21"/>
              </w:rPr>
              <w:t>中广核核技术等46名交易对方</w:t>
            </w:r>
          </w:p>
        </w:tc>
        <w:tc>
          <w:tcPr>
            <w:tcW w:w="5812" w:type="dxa"/>
            <w:shd w:val="clear" w:color="auto" w:fill="FFFFFF"/>
            <w:noWrap w:val="0"/>
            <w:vAlign w:val="center"/>
          </w:tcPr>
          <w:p w14:paraId="148A7983">
            <w:pPr>
              <w:ind w:left="-21" w:leftChars="-10" w:right="-21" w:rightChars="-10" w:firstLine="420" w:firstLineChars="200"/>
              <w:jc w:val="left"/>
              <w:rPr>
                <w:rFonts w:hint="eastAsia"/>
                <w:szCs w:val="21"/>
              </w:rPr>
            </w:pPr>
            <w:r>
              <w:rPr>
                <w:rFonts w:hint="eastAsia"/>
                <w:szCs w:val="21"/>
              </w:rPr>
              <w:t>本人/本企业通过本次交易认购的大连国际股票，自该等股票上市之日起三十六个月内将不以任何直接或间接方式转让或委托他人管理，包括但不限于通过证券市场公开转让或通过协议方式转让；之后按照中国证券监督管理委员会和深圳证券交易所的有关规定执行。</w:t>
            </w:r>
          </w:p>
          <w:p w14:paraId="773E4BD5">
            <w:pPr>
              <w:ind w:left="-21" w:leftChars="-10" w:right="-21" w:rightChars="-10" w:firstLine="420" w:firstLineChars="200"/>
              <w:jc w:val="left"/>
              <w:rPr>
                <w:rFonts w:hint="eastAsia"/>
                <w:szCs w:val="21"/>
              </w:rPr>
            </w:pPr>
            <w:r>
              <w:rPr>
                <w:rFonts w:hint="eastAsia"/>
                <w:szCs w:val="21"/>
              </w:rPr>
              <w:t>上述限售期内，本人/本企业获得的大连国际股票如因大连国际实施送股、转增等事项而增加的部分，将一并遵守上述限售期限的承诺。</w:t>
            </w:r>
          </w:p>
          <w:p w14:paraId="3D1DD948">
            <w:pPr>
              <w:ind w:left="-21" w:leftChars="-10" w:right="-21" w:rightChars="-10" w:firstLine="420" w:firstLineChars="200"/>
              <w:jc w:val="left"/>
              <w:rPr>
                <w:szCs w:val="21"/>
              </w:rPr>
            </w:pPr>
            <w:r>
              <w:rPr>
                <w:rFonts w:hint="eastAsia"/>
                <w:szCs w:val="21"/>
              </w:rPr>
              <w:t>本次交易完成后6个月内，如大连国际股票连续20个交易日的收盘价低于本次交易发行价，或者交易完成后6个月期末收盘价低于本次交易发行价的，本人/本企业/本公司因本次交易新增的大连国际股票的锁定期自动延长至少6个月。</w:t>
            </w:r>
          </w:p>
        </w:tc>
        <w:tc>
          <w:tcPr>
            <w:tcW w:w="992" w:type="dxa"/>
            <w:shd w:val="clear" w:color="auto" w:fill="FFFFFF"/>
            <w:noWrap w:val="0"/>
            <w:vAlign w:val="center"/>
          </w:tcPr>
          <w:p w14:paraId="78D0E40B">
            <w:pPr>
              <w:ind w:left="-21" w:leftChars="-10" w:right="-21" w:rightChars="-10"/>
              <w:jc w:val="left"/>
              <w:rPr>
                <w:szCs w:val="21"/>
              </w:rPr>
            </w:pPr>
            <w:r>
              <w:rPr>
                <w:szCs w:val="21"/>
              </w:rPr>
              <w:t>2017</w:t>
            </w:r>
            <w:r>
              <w:rPr>
                <w:rFonts w:hint="eastAsia"/>
                <w:szCs w:val="21"/>
              </w:rPr>
              <w:t>/0</w:t>
            </w:r>
            <w:r>
              <w:rPr>
                <w:szCs w:val="21"/>
              </w:rPr>
              <w:t>1</w:t>
            </w:r>
            <w:r>
              <w:rPr>
                <w:rFonts w:hint="eastAsia"/>
                <w:szCs w:val="21"/>
              </w:rPr>
              <w:t>/</w:t>
            </w:r>
            <w:r>
              <w:rPr>
                <w:szCs w:val="21"/>
              </w:rPr>
              <w:t>25</w:t>
            </w:r>
          </w:p>
        </w:tc>
        <w:tc>
          <w:tcPr>
            <w:tcW w:w="994" w:type="dxa"/>
            <w:shd w:val="clear" w:color="auto" w:fill="FFFFFF"/>
            <w:noWrap w:val="0"/>
            <w:vAlign w:val="center"/>
          </w:tcPr>
          <w:p w14:paraId="5A1869DE">
            <w:pPr>
              <w:ind w:left="-21" w:leftChars="-10" w:right="-21" w:rightChars="-10"/>
              <w:jc w:val="left"/>
              <w:rPr>
                <w:szCs w:val="21"/>
              </w:rPr>
            </w:pPr>
            <w:r>
              <w:rPr>
                <w:szCs w:val="21"/>
              </w:rPr>
              <w:t>2017</w:t>
            </w:r>
            <w:r>
              <w:rPr>
                <w:rFonts w:hint="eastAsia"/>
                <w:szCs w:val="21"/>
              </w:rPr>
              <w:t>/0</w:t>
            </w:r>
            <w:r>
              <w:rPr>
                <w:szCs w:val="21"/>
              </w:rPr>
              <w:t>1</w:t>
            </w:r>
            <w:r>
              <w:rPr>
                <w:rFonts w:hint="eastAsia"/>
                <w:szCs w:val="21"/>
              </w:rPr>
              <w:t>/</w:t>
            </w:r>
            <w:r>
              <w:rPr>
                <w:szCs w:val="21"/>
              </w:rPr>
              <w:t>25</w:t>
            </w:r>
            <w:r>
              <w:rPr>
                <w:rFonts w:hint="eastAsia"/>
                <w:szCs w:val="21"/>
              </w:rPr>
              <w:t>至</w:t>
            </w:r>
            <w:r>
              <w:rPr>
                <w:szCs w:val="21"/>
              </w:rPr>
              <w:t>2020</w:t>
            </w:r>
            <w:r>
              <w:rPr>
                <w:rFonts w:hint="eastAsia"/>
                <w:szCs w:val="21"/>
              </w:rPr>
              <w:t>/0</w:t>
            </w:r>
            <w:r>
              <w:rPr>
                <w:szCs w:val="21"/>
              </w:rPr>
              <w:t>1</w:t>
            </w:r>
            <w:r>
              <w:rPr>
                <w:rFonts w:hint="eastAsia"/>
                <w:szCs w:val="21"/>
              </w:rPr>
              <w:t>/</w:t>
            </w:r>
            <w:r>
              <w:rPr>
                <w:szCs w:val="21"/>
              </w:rPr>
              <w:t>25</w:t>
            </w:r>
          </w:p>
        </w:tc>
        <w:tc>
          <w:tcPr>
            <w:tcW w:w="972" w:type="dxa"/>
            <w:shd w:val="clear" w:color="auto" w:fill="FFFFFF"/>
            <w:noWrap w:val="0"/>
            <w:vAlign w:val="center"/>
          </w:tcPr>
          <w:p w14:paraId="327D1935">
            <w:pPr>
              <w:ind w:left="-21" w:leftChars="-10" w:right="-21" w:rightChars="-10"/>
              <w:jc w:val="left"/>
              <w:rPr>
                <w:szCs w:val="21"/>
              </w:rPr>
            </w:pPr>
            <w:r>
              <w:rPr>
                <w:rFonts w:hint="eastAsia"/>
                <w:szCs w:val="21"/>
              </w:rPr>
              <w:t>履行完毕</w:t>
            </w:r>
          </w:p>
        </w:tc>
      </w:tr>
    </w:tbl>
    <w:p w14:paraId="799138F5">
      <w:pPr>
        <w:adjustRightInd w:val="0"/>
        <w:snapToGrid w:val="0"/>
        <w:spacing w:before="156" w:beforeLines="50" w:after="156" w:afterLines="50" w:line="360" w:lineRule="auto"/>
        <w:ind w:firstLine="482" w:firstLineChars="200"/>
        <w:outlineLvl w:val="2"/>
        <w:rPr>
          <w:rFonts w:hint="eastAsia"/>
          <w:b/>
          <w:color w:val="000000"/>
          <w:sz w:val="24"/>
          <w:szCs w:val="24"/>
        </w:rPr>
      </w:pPr>
      <w:r>
        <w:rPr>
          <w:rFonts w:hint="eastAsia"/>
          <w:b/>
          <w:color w:val="000000"/>
          <w:sz w:val="24"/>
          <w:szCs w:val="24"/>
        </w:rPr>
        <w:t>2</w:t>
      </w:r>
      <w:r>
        <w:rPr>
          <w:rFonts w:hint="eastAsia"/>
          <w:b/>
          <w:color w:val="000000"/>
          <w:sz w:val="24"/>
          <w:szCs w:val="24"/>
          <w:lang w:eastAsia="zh-CN"/>
        </w:rPr>
        <w:t>.</w:t>
      </w:r>
      <w:r>
        <w:rPr>
          <w:rFonts w:hint="eastAsia"/>
          <w:b/>
          <w:color w:val="000000"/>
          <w:sz w:val="24"/>
          <w:szCs w:val="24"/>
        </w:rPr>
        <w:t>关于解决产权瑕疵的承诺</w:t>
      </w:r>
    </w:p>
    <w:tbl>
      <w:tblPr>
        <w:tblStyle w:val="11"/>
        <w:tblW w:w="95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83"/>
        <w:gridCol w:w="4800"/>
        <w:gridCol w:w="1013"/>
        <w:gridCol w:w="1013"/>
        <w:gridCol w:w="1810"/>
      </w:tblGrid>
      <w:tr w14:paraId="164E5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tblHeader/>
          <w:jc w:val="center"/>
        </w:trPr>
        <w:tc>
          <w:tcPr>
            <w:tcW w:w="883" w:type="dxa"/>
            <w:shd w:val="clear" w:color="auto" w:fill="D7D7D7" w:themeFill="background1" w:themeFillShade="D8"/>
            <w:noWrap w:val="0"/>
            <w:vAlign w:val="center"/>
          </w:tcPr>
          <w:p w14:paraId="1CEC57BA">
            <w:pPr>
              <w:ind w:left="-21" w:leftChars="-10" w:right="-21" w:rightChars="-10"/>
              <w:jc w:val="center"/>
              <w:rPr>
                <w:b/>
                <w:szCs w:val="21"/>
                <w:highlight w:val="none"/>
              </w:rPr>
            </w:pPr>
            <w:r>
              <w:rPr>
                <w:rFonts w:hint="eastAsia"/>
                <w:b/>
                <w:szCs w:val="21"/>
                <w:highlight w:val="none"/>
              </w:rPr>
              <w:t>承诺方</w:t>
            </w:r>
          </w:p>
        </w:tc>
        <w:tc>
          <w:tcPr>
            <w:tcW w:w="4800" w:type="dxa"/>
            <w:shd w:val="clear" w:color="auto" w:fill="D7D7D7" w:themeFill="background1" w:themeFillShade="D8"/>
            <w:noWrap w:val="0"/>
            <w:vAlign w:val="center"/>
          </w:tcPr>
          <w:p w14:paraId="55833A3F">
            <w:pPr>
              <w:ind w:left="-21" w:leftChars="-10" w:right="-21" w:rightChars="-10"/>
              <w:jc w:val="center"/>
              <w:rPr>
                <w:b/>
                <w:szCs w:val="21"/>
                <w:highlight w:val="none"/>
              </w:rPr>
            </w:pPr>
            <w:r>
              <w:rPr>
                <w:rFonts w:hint="eastAsia"/>
                <w:b/>
                <w:szCs w:val="21"/>
                <w:highlight w:val="none"/>
              </w:rPr>
              <w:t>承诺内容</w:t>
            </w:r>
          </w:p>
        </w:tc>
        <w:tc>
          <w:tcPr>
            <w:tcW w:w="1013" w:type="dxa"/>
            <w:shd w:val="clear" w:color="auto" w:fill="D7D7D7" w:themeFill="background1" w:themeFillShade="D8"/>
            <w:noWrap w:val="0"/>
            <w:vAlign w:val="center"/>
          </w:tcPr>
          <w:p w14:paraId="3BCBAC78">
            <w:pPr>
              <w:ind w:left="-21" w:leftChars="-10" w:right="-21" w:rightChars="-10"/>
              <w:jc w:val="center"/>
              <w:rPr>
                <w:b/>
                <w:szCs w:val="21"/>
                <w:highlight w:val="none"/>
              </w:rPr>
            </w:pPr>
            <w:r>
              <w:rPr>
                <w:rFonts w:hint="eastAsia"/>
                <w:b/>
                <w:szCs w:val="21"/>
                <w:highlight w:val="none"/>
              </w:rPr>
              <w:t>承诺时间</w:t>
            </w:r>
          </w:p>
        </w:tc>
        <w:tc>
          <w:tcPr>
            <w:tcW w:w="1013" w:type="dxa"/>
            <w:shd w:val="clear" w:color="auto" w:fill="D7D7D7" w:themeFill="background1" w:themeFillShade="D8"/>
            <w:noWrap w:val="0"/>
            <w:vAlign w:val="center"/>
          </w:tcPr>
          <w:p w14:paraId="56624887">
            <w:pPr>
              <w:ind w:left="-21" w:leftChars="-10" w:right="-21" w:rightChars="-10"/>
              <w:jc w:val="center"/>
              <w:rPr>
                <w:b/>
                <w:szCs w:val="21"/>
                <w:highlight w:val="none"/>
              </w:rPr>
            </w:pPr>
            <w:r>
              <w:rPr>
                <w:rFonts w:hint="eastAsia"/>
                <w:b/>
                <w:szCs w:val="21"/>
                <w:highlight w:val="none"/>
              </w:rPr>
              <w:t>承诺期限</w:t>
            </w:r>
          </w:p>
        </w:tc>
        <w:tc>
          <w:tcPr>
            <w:tcW w:w="1810" w:type="dxa"/>
            <w:shd w:val="clear" w:color="auto" w:fill="D7D7D7" w:themeFill="background1" w:themeFillShade="D8"/>
            <w:noWrap w:val="0"/>
            <w:vAlign w:val="center"/>
          </w:tcPr>
          <w:p w14:paraId="24A6A226">
            <w:pPr>
              <w:ind w:left="-21" w:leftChars="-10" w:right="-21" w:rightChars="-10"/>
              <w:jc w:val="center"/>
              <w:rPr>
                <w:b/>
                <w:szCs w:val="21"/>
                <w:highlight w:val="none"/>
              </w:rPr>
            </w:pPr>
            <w:r>
              <w:rPr>
                <w:rFonts w:hint="eastAsia"/>
                <w:b/>
                <w:szCs w:val="21"/>
                <w:highlight w:val="none"/>
              </w:rPr>
              <w:t>履行情况</w:t>
            </w:r>
          </w:p>
        </w:tc>
      </w:tr>
      <w:tr w14:paraId="59F40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883" w:type="dxa"/>
            <w:vMerge w:val="restart"/>
            <w:shd w:val="clear" w:color="auto" w:fill="FFFFFF"/>
            <w:noWrap w:val="0"/>
            <w:vAlign w:val="center"/>
          </w:tcPr>
          <w:p w14:paraId="3D9C2869">
            <w:pPr>
              <w:ind w:left="-21" w:leftChars="-10" w:right="-21" w:rightChars="-10"/>
              <w:jc w:val="left"/>
              <w:rPr>
                <w:rFonts w:hint="eastAsia"/>
                <w:szCs w:val="21"/>
                <w:highlight w:val="none"/>
              </w:rPr>
            </w:pPr>
            <w:r>
              <w:rPr>
                <w:rFonts w:hint="eastAsia"/>
                <w:szCs w:val="21"/>
                <w:highlight w:val="none"/>
              </w:rPr>
              <w:t>中广核高新核材集团有限公司原股东</w:t>
            </w:r>
          </w:p>
        </w:tc>
        <w:tc>
          <w:tcPr>
            <w:tcW w:w="4800" w:type="dxa"/>
            <w:shd w:val="clear" w:color="auto" w:fill="FFFFFF"/>
            <w:noWrap w:val="0"/>
            <w:vAlign w:val="center"/>
          </w:tcPr>
          <w:p w14:paraId="3F9F8083">
            <w:pPr>
              <w:ind w:left="-21" w:leftChars="-10" w:right="-21" w:rightChars="-10" w:firstLine="420" w:firstLineChars="200"/>
              <w:jc w:val="left"/>
              <w:rPr>
                <w:rFonts w:hint="eastAsia"/>
                <w:szCs w:val="21"/>
                <w:highlight w:val="none"/>
              </w:rPr>
            </w:pPr>
            <w:r>
              <w:rPr>
                <w:rFonts w:hint="eastAsia"/>
                <w:szCs w:val="21"/>
                <w:highlight w:val="none"/>
              </w:rPr>
              <w:t>中广核三角洲（江苏）塑化有限公司（以下简称“江苏塑化”）瑕疵房产：</w:t>
            </w:r>
          </w:p>
          <w:p w14:paraId="0D6B77EA">
            <w:pPr>
              <w:ind w:left="-21" w:leftChars="-10" w:right="-21" w:rightChars="-10" w:firstLine="420" w:firstLineChars="200"/>
              <w:jc w:val="left"/>
              <w:rPr>
                <w:rFonts w:hint="eastAsia"/>
                <w:szCs w:val="21"/>
                <w:highlight w:val="none"/>
              </w:rPr>
            </w:pPr>
            <w:r>
              <w:rPr>
                <w:rFonts w:hint="eastAsia"/>
                <w:szCs w:val="21"/>
                <w:highlight w:val="none"/>
              </w:rPr>
              <w:t>1、自原承诺函期限届满之日起的24个月内，承诺人将协助公司通过置换或出让等合理合法的方式积极妥善处理上述瑕疵问题；</w:t>
            </w:r>
          </w:p>
          <w:p w14:paraId="2C3FB15B">
            <w:pPr>
              <w:ind w:left="-21" w:leftChars="-10" w:right="-21" w:rightChars="-10" w:firstLine="420" w:firstLineChars="200"/>
              <w:jc w:val="left"/>
              <w:rPr>
                <w:rFonts w:hint="eastAsia"/>
                <w:szCs w:val="21"/>
                <w:highlight w:val="none"/>
              </w:rPr>
            </w:pPr>
            <w:r>
              <w:rPr>
                <w:rFonts w:hint="eastAsia"/>
                <w:szCs w:val="21"/>
                <w:highlight w:val="none"/>
              </w:rPr>
              <w:t>2、若未来由于上述三处房产瑕疵导致公司产生任何直接或间接经济损失（包括但不限于罚款、补缴款、拆除费用、搬迁费用、停工停产损失等）的，承诺人将按照本次重组前其在公司所占的直接和间接权益比例，以承担连带责任方式无条件予以全额承担和补偿，确保公司不会因此遭受任何经济损失。</w:t>
            </w:r>
          </w:p>
          <w:p w14:paraId="33BF8C94">
            <w:pPr>
              <w:ind w:left="-21" w:leftChars="-10" w:right="-21" w:rightChars="-10" w:firstLine="420" w:firstLineChars="200"/>
              <w:jc w:val="left"/>
              <w:rPr>
                <w:rFonts w:hint="eastAsia"/>
                <w:szCs w:val="21"/>
                <w:highlight w:val="none"/>
              </w:rPr>
            </w:pPr>
            <w:r>
              <w:rPr>
                <w:rFonts w:hint="eastAsia"/>
                <w:szCs w:val="21"/>
                <w:highlight w:val="none"/>
              </w:rPr>
              <w:t>3、本承诺函具有不可撤销的效力。</w:t>
            </w:r>
          </w:p>
        </w:tc>
        <w:tc>
          <w:tcPr>
            <w:tcW w:w="1013" w:type="dxa"/>
            <w:shd w:val="clear" w:color="auto" w:fill="FFFFFF"/>
            <w:noWrap w:val="0"/>
            <w:vAlign w:val="center"/>
          </w:tcPr>
          <w:p w14:paraId="325D51D7">
            <w:pPr>
              <w:jc w:val="left"/>
              <w:rPr>
                <w:szCs w:val="24"/>
                <w:highlight w:val="none"/>
              </w:rPr>
            </w:pPr>
            <w:r>
              <w:rPr>
                <w:szCs w:val="24"/>
                <w:highlight w:val="none"/>
              </w:rPr>
              <w:t>2019/01/24</w:t>
            </w:r>
          </w:p>
        </w:tc>
        <w:tc>
          <w:tcPr>
            <w:tcW w:w="1013" w:type="dxa"/>
            <w:shd w:val="clear" w:color="auto" w:fill="FFFFFF"/>
            <w:noWrap w:val="0"/>
            <w:vAlign w:val="center"/>
          </w:tcPr>
          <w:p w14:paraId="634101B8">
            <w:pPr>
              <w:jc w:val="left"/>
              <w:rPr>
                <w:szCs w:val="24"/>
                <w:highlight w:val="none"/>
              </w:rPr>
            </w:pPr>
            <w:r>
              <w:rPr>
                <w:szCs w:val="24"/>
                <w:highlight w:val="none"/>
              </w:rPr>
              <w:t>2019/01/24</w:t>
            </w:r>
            <w:r>
              <w:rPr>
                <w:rFonts w:hint="eastAsia"/>
                <w:szCs w:val="24"/>
                <w:highlight w:val="none"/>
              </w:rPr>
              <w:t>至</w:t>
            </w:r>
            <w:r>
              <w:rPr>
                <w:szCs w:val="24"/>
                <w:highlight w:val="none"/>
              </w:rPr>
              <w:t>2021/01/24</w:t>
            </w:r>
          </w:p>
        </w:tc>
        <w:tc>
          <w:tcPr>
            <w:tcW w:w="1810" w:type="dxa"/>
            <w:shd w:val="clear" w:color="auto" w:fill="FFFFFF"/>
            <w:noWrap w:val="0"/>
            <w:vAlign w:val="center"/>
          </w:tcPr>
          <w:p w14:paraId="4100E140">
            <w:pPr>
              <w:ind w:left="-21" w:leftChars="-10" w:right="-21" w:rightChars="-10"/>
              <w:jc w:val="left"/>
              <w:rPr>
                <w:rFonts w:hint="eastAsia"/>
                <w:szCs w:val="21"/>
                <w:highlight w:val="none"/>
              </w:rPr>
            </w:pPr>
            <w:r>
              <w:rPr>
                <w:rFonts w:hint="eastAsia"/>
                <w:szCs w:val="21"/>
                <w:highlight w:val="none"/>
              </w:rPr>
              <w:t>已履行完毕。高新核材原股东已按2015年6月30日瑕疵房产的评估值和拆除费向上市公司补偿894,657.00元。</w:t>
            </w:r>
          </w:p>
        </w:tc>
      </w:tr>
      <w:tr w14:paraId="54021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883" w:type="dxa"/>
            <w:vMerge w:val="continue"/>
            <w:shd w:val="clear" w:color="auto" w:fill="FFFFFF"/>
            <w:noWrap w:val="0"/>
            <w:vAlign w:val="center"/>
          </w:tcPr>
          <w:p w14:paraId="3ACCF65E">
            <w:pPr>
              <w:ind w:left="-21" w:leftChars="-10" w:right="-21" w:rightChars="-10"/>
              <w:jc w:val="left"/>
              <w:rPr>
                <w:rFonts w:hint="eastAsia"/>
                <w:szCs w:val="21"/>
                <w:highlight w:val="none"/>
              </w:rPr>
            </w:pPr>
          </w:p>
        </w:tc>
        <w:tc>
          <w:tcPr>
            <w:tcW w:w="4800" w:type="dxa"/>
            <w:shd w:val="clear" w:color="auto" w:fill="FFFFFF"/>
            <w:noWrap w:val="0"/>
            <w:vAlign w:val="center"/>
          </w:tcPr>
          <w:p w14:paraId="5A07CAC3">
            <w:pPr>
              <w:ind w:left="-21" w:leftChars="-10" w:right="-21" w:rightChars="-10" w:firstLine="420" w:firstLineChars="200"/>
              <w:jc w:val="left"/>
              <w:rPr>
                <w:rFonts w:hint="eastAsia"/>
                <w:szCs w:val="21"/>
                <w:highlight w:val="none"/>
              </w:rPr>
            </w:pPr>
            <w:r>
              <w:rPr>
                <w:rFonts w:hint="eastAsia"/>
                <w:szCs w:val="21"/>
                <w:highlight w:val="none"/>
              </w:rPr>
              <w:t>中广核三角洲（苏州）高聚物有限公司（以下简称“苏州高聚物”）瑕疵房产：</w:t>
            </w:r>
          </w:p>
          <w:p w14:paraId="62EDF181">
            <w:pPr>
              <w:ind w:left="-21" w:leftChars="-10" w:right="-21" w:rightChars="-10" w:firstLine="420" w:firstLineChars="200"/>
              <w:jc w:val="left"/>
              <w:rPr>
                <w:rFonts w:hint="eastAsia"/>
                <w:szCs w:val="21"/>
                <w:highlight w:val="none"/>
              </w:rPr>
            </w:pPr>
            <w:r>
              <w:rPr>
                <w:rFonts w:hint="eastAsia"/>
                <w:szCs w:val="21"/>
                <w:highlight w:val="none"/>
              </w:rPr>
              <w:t>1、自原承诺函期限届满之日起的24个月内，承诺人将协助公司通过置换或出让等合理合法的方式积极妥善处理上述瑕疵问题；</w:t>
            </w:r>
          </w:p>
          <w:p w14:paraId="7FBD4BF9">
            <w:pPr>
              <w:ind w:left="-21" w:leftChars="-10" w:right="-21" w:rightChars="-10" w:firstLine="420" w:firstLineChars="200"/>
              <w:jc w:val="left"/>
              <w:rPr>
                <w:rFonts w:hint="eastAsia"/>
                <w:szCs w:val="21"/>
                <w:highlight w:val="none"/>
              </w:rPr>
            </w:pPr>
            <w:r>
              <w:rPr>
                <w:rFonts w:hint="eastAsia"/>
                <w:szCs w:val="21"/>
                <w:highlight w:val="none"/>
              </w:rPr>
              <w:t>2、若未来由于上述四处房产瑕疵导致公司产生任何直接或间接经济损失（包括但不限于罚款、补缴款、拆除费用、搬迁费用、停工停产损失等）的，承诺人将按照本次重组前其在公司所占的直接和间接权益比例，以承担连带责任方式无条件予以全额承担和补偿，确保公司不会因此遭受任何经济损失；</w:t>
            </w:r>
          </w:p>
          <w:p w14:paraId="7D57301A">
            <w:pPr>
              <w:ind w:left="-21" w:leftChars="-10" w:right="-21" w:rightChars="-10" w:firstLine="420" w:firstLineChars="200"/>
              <w:jc w:val="left"/>
              <w:rPr>
                <w:rFonts w:hint="eastAsia"/>
                <w:szCs w:val="21"/>
                <w:highlight w:val="none"/>
              </w:rPr>
            </w:pPr>
            <w:r>
              <w:rPr>
                <w:rFonts w:hint="eastAsia"/>
                <w:szCs w:val="21"/>
                <w:highlight w:val="none"/>
              </w:rPr>
              <w:t>3、本承诺函具有不可撤销的效力。</w:t>
            </w:r>
          </w:p>
        </w:tc>
        <w:tc>
          <w:tcPr>
            <w:tcW w:w="1013" w:type="dxa"/>
            <w:shd w:val="clear" w:color="auto" w:fill="FFFFFF"/>
            <w:noWrap w:val="0"/>
            <w:vAlign w:val="center"/>
          </w:tcPr>
          <w:p w14:paraId="3656C210">
            <w:pPr>
              <w:jc w:val="left"/>
              <w:rPr>
                <w:szCs w:val="24"/>
                <w:highlight w:val="none"/>
              </w:rPr>
            </w:pPr>
            <w:r>
              <w:rPr>
                <w:szCs w:val="24"/>
                <w:highlight w:val="none"/>
              </w:rPr>
              <w:t>2019/01/24</w:t>
            </w:r>
          </w:p>
        </w:tc>
        <w:tc>
          <w:tcPr>
            <w:tcW w:w="1013" w:type="dxa"/>
            <w:shd w:val="clear" w:color="auto" w:fill="FFFFFF"/>
            <w:noWrap w:val="0"/>
            <w:vAlign w:val="center"/>
          </w:tcPr>
          <w:p w14:paraId="34AF377F">
            <w:pPr>
              <w:jc w:val="left"/>
              <w:rPr>
                <w:szCs w:val="24"/>
                <w:highlight w:val="none"/>
              </w:rPr>
            </w:pPr>
            <w:r>
              <w:rPr>
                <w:szCs w:val="24"/>
                <w:highlight w:val="none"/>
              </w:rPr>
              <w:t>2019/01/24</w:t>
            </w:r>
            <w:r>
              <w:rPr>
                <w:rFonts w:hint="eastAsia"/>
                <w:szCs w:val="24"/>
                <w:highlight w:val="none"/>
              </w:rPr>
              <w:t>至</w:t>
            </w:r>
            <w:r>
              <w:rPr>
                <w:szCs w:val="24"/>
                <w:highlight w:val="none"/>
              </w:rPr>
              <w:t>2021/01/24</w:t>
            </w:r>
          </w:p>
        </w:tc>
        <w:tc>
          <w:tcPr>
            <w:tcW w:w="1810" w:type="dxa"/>
            <w:shd w:val="clear" w:color="auto" w:fill="FFFFFF"/>
            <w:noWrap w:val="0"/>
            <w:vAlign w:val="center"/>
          </w:tcPr>
          <w:p w14:paraId="2302B875">
            <w:pPr>
              <w:ind w:left="-21" w:leftChars="-10" w:right="-21" w:rightChars="-10"/>
              <w:jc w:val="left"/>
              <w:rPr>
                <w:rFonts w:hint="eastAsia"/>
                <w:szCs w:val="21"/>
                <w:highlight w:val="none"/>
              </w:rPr>
            </w:pPr>
            <w:r>
              <w:rPr>
                <w:rFonts w:hint="eastAsia"/>
                <w:szCs w:val="21"/>
                <w:highlight w:val="none"/>
              </w:rPr>
              <w:t>已履行完毕。高新核材原股东已按2015年6月30日瑕疵房产的评估值和拆除费向上市公司补偿人民币1,052,382.00元。</w:t>
            </w:r>
          </w:p>
        </w:tc>
      </w:tr>
    </w:tbl>
    <w:p w14:paraId="1B7AEF87">
      <w:pPr>
        <w:adjustRightInd w:val="0"/>
        <w:snapToGrid w:val="0"/>
        <w:spacing w:before="156" w:beforeLines="50" w:after="156" w:afterLines="50" w:line="360" w:lineRule="auto"/>
        <w:ind w:firstLine="482" w:firstLineChars="200"/>
        <w:outlineLvl w:val="2"/>
        <w:rPr>
          <w:rFonts w:hint="eastAsia"/>
          <w:b/>
          <w:color w:val="000000"/>
          <w:sz w:val="24"/>
          <w:szCs w:val="24"/>
        </w:rPr>
      </w:pPr>
      <w:r>
        <w:rPr>
          <w:rFonts w:hint="eastAsia"/>
          <w:b/>
          <w:color w:val="000000"/>
          <w:sz w:val="24"/>
          <w:szCs w:val="24"/>
        </w:rPr>
        <w:t>3</w:t>
      </w:r>
      <w:r>
        <w:rPr>
          <w:rFonts w:hint="eastAsia"/>
          <w:b/>
          <w:color w:val="000000"/>
          <w:sz w:val="24"/>
          <w:szCs w:val="24"/>
          <w:lang w:eastAsia="zh-CN"/>
        </w:rPr>
        <w:t>.</w:t>
      </w:r>
      <w:r>
        <w:rPr>
          <w:rFonts w:hint="eastAsia"/>
          <w:b/>
          <w:color w:val="000000"/>
          <w:sz w:val="24"/>
          <w:szCs w:val="24"/>
        </w:rPr>
        <w:t>一般性承诺</w:t>
      </w:r>
    </w:p>
    <w:tbl>
      <w:tblPr>
        <w:tblStyle w:val="11"/>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47"/>
        <w:gridCol w:w="992"/>
        <w:gridCol w:w="6721"/>
        <w:gridCol w:w="972"/>
      </w:tblGrid>
      <w:tr w14:paraId="632E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947" w:type="dxa"/>
            <w:shd w:val="clear" w:color="auto" w:fill="D7D7D7" w:themeFill="background1" w:themeFillShade="D8"/>
            <w:noWrap w:val="0"/>
            <w:vAlign w:val="center"/>
          </w:tcPr>
          <w:p w14:paraId="0C0AFB06">
            <w:pPr>
              <w:ind w:left="-21" w:leftChars="-10" w:right="-21" w:rightChars="-10"/>
              <w:jc w:val="center"/>
              <w:rPr>
                <w:b/>
                <w:szCs w:val="21"/>
              </w:rPr>
            </w:pPr>
            <w:r>
              <w:rPr>
                <w:rFonts w:hint="eastAsia"/>
                <w:b/>
                <w:szCs w:val="21"/>
              </w:rPr>
              <w:t>承诺方</w:t>
            </w:r>
          </w:p>
        </w:tc>
        <w:tc>
          <w:tcPr>
            <w:tcW w:w="992" w:type="dxa"/>
            <w:shd w:val="clear" w:color="auto" w:fill="D7D7D7" w:themeFill="background1" w:themeFillShade="D8"/>
            <w:noWrap w:val="0"/>
            <w:vAlign w:val="center"/>
          </w:tcPr>
          <w:p w14:paraId="6EE92E6D">
            <w:pPr>
              <w:ind w:left="-21" w:leftChars="-10" w:right="-21" w:rightChars="-10"/>
              <w:jc w:val="center"/>
              <w:rPr>
                <w:rFonts w:hint="eastAsia"/>
                <w:b/>
                <w:szCs w:val="21"/>
              </w:rPr>
            </w:pPr>
            <w:r>
              <w:rPr>
                <w:rFonts w:hint="eastAsia"/>
                <w:b/>
                <w:szCs w:val="21"/>
              </w:rPr>
              <w:t>承诺事项</w:t>
            </w:r>
          </w:p>
        </w:tc>
        <w:tc>
          <w:tcPr>
            <w:tcW w:w="6721" w:type="dxa"/>
            <w:shd w:val="clear" w:color="auto" w:fill="D7D7D7" w:themeFill="background1" w:themeFillShade="D8"/>
            <w:noWrap w:val="0"/>
            <w:vAlign w:val="center"/>
          </w:tcPr>
          <w:p w14:paraId="351723E6">
            <w:pPr>
              <w:ind w:left="-21" w:leftChars="-10" w:right="-21" w:rightChars="-10"/>
              <w:jc w:val="center"/>
              <w:rPr>
                <w:b/>
                <w:szCs w:val="21"/>
              </w:rPr>
            </w:pPr>
            <w:r>
              <w:rPr>
                <w:rFonts w:hint="eastAsia"/>
                <w:b/>
                <w:szCs w:val="21"/>
              </w:rPr>
              <w:t>承诺内容</w:t>
            </w:r>
          </w:p>
        </w:tc>
        <w:tc>
          <w:tcPr>
            <w:tcW w:w="972" w:type="dxa"/>
            <w:shd w:val="clear" w:color="auto" w:fill="D7D7D7" w:themeFill="background1" w:themeFillShade="D8"/>
            <w:noWrap w:val="0"/>
            <w:vAlign w:val="center"/>
          </w:tcPr>
          <w:p w14:paraId="2C0FD945">
            <w:pPr>
              <w:ind w:left="-21" w:leftChars="-10" w:right="-21" w:rightChars="-10"/>
              <w:jc w:val="center"/>
              <w:rPr>
                <w:b/>
                <w:szCs w:val="21"/>
              </w:rPr>
            </w:pPr>
            <w:r>
              <w:rPr>
                <w:rFonts w:hint="eastAsia"/>
                <w:b/>
                <w:szCs w:val="21"/>
              </w:rPr>
              <w:t>履行情况</w:t>
            </w:r>
          </w:p>
        </w:tc>
      </w:tr>
      <w:tr w14:paraId="481B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47" w:type="dxa"/>
            <w:shd w:val="clear" w:color="auto" w:fill="FFFFFF"/>
            <w:noWrap w:val="0"/>
            <w:vAlign w:val="center"/>
          </w:tcPr>
          <w:p w14:paraId="05E60E7D">
            <w:pPr>
              <w:ind w:left="-21" w:leftChars="-10" w:right="-21" w:rightChars="-10"/>
              <w:jc w:val="left"/>
              <w:rPr>
                <w:szCs w:val="21"/>
              </w:rPr>
            </w:pPr>
            <w:r>
              <w:rPr>
                <w:rFonts w:hint="eastAsia"/>
                <w:szCs w:val="21"/>
              </w:rPr>
              <w:t>交易对方及配套融资方</w:t>
            </w:r>
          </w:p>
        </w:tc>
        <w:tc>
          <w:tcPr>
            <w:tcW w:w="992" w:type="dxa"/>
            <w:shd w:val="clear" w:color="auto" w:fill="FFFFFF"/>
            <w:noWrap w:val="0"/>
            <w:vAlign w:val="center"/>
          </w:tcPr>
          <w:p w14:paraId="17A44D00">
            <w:pPr>
              <w:ind w:left="-21" w:leftChars="-10" w:right="-21" w:rightChars="-10"/>
              <w:rPr>
                <w:rFonts w:hint="eastAsia"/>
                <w:szCs w:val="21"/>
              </w:rPr>
            </w:pPr>
            <w:r>
              <w:rPr>
                <w:rFonts w:hint="eastAsia"/>
                <w:szCs w:val="21"/>
              </w:rPr>
              <w:t>提供资料真实、准确和完整</w:t>
            </w:r>
          </w:p>
        </w:tc>
        <w:tc>
          <w:tcPr>
            <w:tcW w:w="6721" w:type="dxa"/>
            <w:shd w:val="clear" w:color="auto" w:fill="FFFFFF"/>
            <w:noWrap w:val="0"/>
            <w:vAlign w:val="center"/>
          </w:tcPr>
          <w:p w14:paraId="13C5B279">
            <w:pPr>
              <w:ind w:left="-21" w:leftChars="-10" w:right="-21" w:rightChars="-10" w:firstLine="420" w:firstLineChars="200"/>
              <w:jc w:val="left"/>
              <w:rPr>
                <w:rFonts w:hint="eastAsia"/>
                <w:szCs w:val="21"/>
              </w:rPr>
            </w:pPr>
            <w:r>
              <w:rPr>
                <w:rFonts w:hint="eastAsia"/>
                <w:szCs w:val="21"/>
              </w:rPr>
              <w:t>1、本人/本企业保证为本次交易所提供信息的真实性、准确性和完整性，保证不存在虚假记载、误导性陈述或者重大遗漏，并就提供信息的真实性、准确性和完整性承担法律责任。</w:t>
            </w:r>
          </w:p>
          <w:p w14:paraId="427CC29D">
            <w:pPr>
              <w:ind w:left="-21" w:leftChars="-10" w:right="-21" w:rightChars="-10" w:firstLine="420" w:firstLineChars="200"/>
              <w:jc w:val="left"/>
              <w:rPr>
                <w:rFonts w:hint="eastAsia"/>
                <w:szCs w:val="21"/>
              </w:rPr>
            </w:pPr>
            <w:r>
              <w:rPr>
                <w:rFonts w:hint="eastAsia"/>
                <w:szCs w:val="21"/>
              </w:rPr>
              <w:t>2、本人/本企业已向参与本次交易的各中介机构提供了其要求提供的全部资料，该等资料均为真实、准确、完整的原始书面资料或副本资料，该等资料副本或复印件与其原始资料或原件一致，所有文件的签名、印章均是真实的，并无任何虚假记载、误导性陈述或者重大遗漏。</w:t>
            </w:r>
          </w:p>
          <w:p w14:paraId="3BD4A8DA">
            <w:pPr>
              <w:ind w:left="-21" w:leftChars="-10" w:right="-21" w:rightChars="-10" w:firstLine="420" w:firstLineChars="200"/>
              <w:jc w:val="left"/>
              <w:rPr>
                <w:szCs w:val="21"/>
              </w:rPr>
            </w:pPr>
            <w:r>
              <w:rPr>
                <w:rFonts w:hint="eastAsia"/>
                <w:szCs w:val="21"/>
              </w:rPr>
              <w:t>3、本人/本企业保证，如违反上述承诺，给上市公司或者投资者造成损失的，本人/本企业愿意依法承担赔偿责任。</w:t>
            </w:r>
          </w:p>
        </w:tc>
        <w:tc>
          <w:tcPr>
            <w:tcW w:w="972" w:type="dxa"/>
            <w:shd w:val="clear" w:color="auto" w:fill="FFFFFF"/>
            <w:noWrap w:val="0"/>
            <w:vAlign w:val="center"/>
          </w:tcPr>
          <w:p w14:paraId="6B8428B1">
            <w:pPr>
              <w:ind w:left="-21" w:leftChars="-10" w:right="-21" w:rightChars="-10"/>
              <w:jc w:val="left"/>
              <w:rPr>
                <w:szCs w:val="21"/>
              </w:rPr>
            </w:pPr>
            <w:r>
              <w:rPr>
                <w:rFonts w:hint="eastAsia"/>
                <w:szCs w:val="21"/>
              </w:rPr>
              <w:t>履行完毕</w:t>
            </w:r>
          </w:p>
        </w:tc>
      </w:tr>
      <w:tr w14:paraId="4428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47" w:type="dxa"/>
            <w:shd w:val="clear" w:color="auto" w:fill="FFFFFF"/>
            <w:noWrap w:val="0"/>
            <w:vAlign w:val="center"/>
          </w:tcPr>
          <w:p w14:paraId="0EAD8788">
            <w:pPr>
              <w:ind w:left="-21" w:leftChars="-10" w:right="-21" w:rightChars="-10"/>
              <w:jc w:val="left"/>
              <w:rPr>
                <w:rFonts w:hint="eastAsia"/>
                <w:szCs w:val="21"/>
              </w:rPr>
            </w:pPr>
            <w:r>
              <w:rPr>
                <w:rFonts w:hint="eastAsia"/>
                <w:szCs w:val="21"/>
              </w:rPr>
              <w:t>交易对方</w:t>
            </w:r>
          </w:p>
        </w:tc>
        <w:tc>
          <w:tcPr>
            <w:tcW w:w="992" w:type="dxa"/>
            <w:shd w:val="clear" w:color="auto" w:fill="FFFFFF"/>
            <w:noWrap w:val="0"/>
            <w:vAlign w:val="center"/>
          </w:tcPr>
          <w:p w14:paraId="2E67D368">
            <w:pPr>
              <w:ind w:left="-21" w:leftChars="-10" w:right="-21" w:rightChars="-10"/>
              <w:rPr>
                <w:rFonts w:hint="eastAsia"/>
                <w:szCs w:val="21"/>
              </w:rPr>
            </w:pPr>
            <w:r>
              <w:rPr>
                <w:rFonts w:hint="eastAsia"/>
                <w:szCs w:val="21"/>
              </w:rPr>
              <w:t>合法合规及诚信情况</w:t>
            </w:r>
          </w:p>
        </w:tc>
        <w:tc>
          <w:tcPr>
            <w:tcW w:w="6721" w:type="dxa"/>
            <w:shd w:val="clear" w:color="auto" w:fill="FFFFFF"/>
            <w:noWrap w:val="0"/>
            <w:vAlign w:val="center"/>
          </w:tcPr>
          <w:p w14:paraId="40DFFF12">
            <w:pPr>
              <w:ind w:firstLine="420" w:firstLineChars="200"/>
              <w:rPr>
                <w:rFonts w:cs="Arial"/>
              </w:rPr>
            </w:pPr>
            <w:r>
              <w:rPr>
                <w:rFonts w:cs="Arial"/>
              </w:rPr>
              <w:t>1、本人/本企业未因涉嫌犯罪被司法机关立案侦查或者涉嫌违法违规被中国证监会立案调查，且最近五年内不存在受到行政处罚（与证券市场明显无关的除外）、刑事处罚、或者涉及与经济纠纷有关的重大民事诉讼或者仲裁的情况。</w:t>
            </w:r>
          </w:p>
          <w:p w14:paraId="3E59C3EE">
            <w:pPr>
              <w:ind w:firstLine="420" w:firstLineChars="200"/>
              <w:rPr>
                <w:rFonts w:hint="eastAsia"/>
                <w:szCs w:val="21"/>
              </w:rPr>
            </w:pPr>
            <w:r>
              <w:rPr>
                <w:rFonts w:cs="Arial"/>
              </w:rPr>
              <w:t>2、本人/本企业最近五年内诚信情况良好，不存在未按期偿还大额债务、未履行承诺、被中国证监会采取行政监管措施或受到证券交易所纪律处分的情况。</w:t>
            </w:r>
          </w:p>
        </w:tc>
        <w:tc>
          <w:tcPr>
            <w:tcW w:w="972" w:type="dxa"/>
            <w:shd w:val="clear" w:color="auto" w:fill="FFFFFF"/>
            <w:noWrap w:val="0"/>
            <w:vAlign w:val="center"/>
          </w:tcPr>
          <w:p w14:paraId="22A86099">
            <w:pPr>
              <w:ind w:left="-21" w:leftChars="-10" w:right="-21" w:rightChars="-10"/>
              <w:jc w:val="left"/>
              <w:rPr>
                <w:rFonts w:hint="eastAsia"/>
                <w:szCs w:val="21"/>
              </w:rPr>
            </w:pPr>
            <w:r>
              <w:rPr>
                <w:rFonts w:hint="eastAsia"/>
                <w:szCs w:val="21"/>
              </w:rPr>
              <w:t>履行完毕</w:t>
            </w:r>
          </w:p>
        </w:tc>
      </w:tr>
      <w:tr w14:paraId="3EAE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47" w:type="dxa"/>
            <w:shd w:val="clear" w:color="auto" w:fill="FFFFFF"/>
            <w:noWrap w:val="0"/>
            <w:vAlign w:val="center"/>
          </w:tcPr>
          <w:p w14:paraId="09E3B2BF">
            <w:pPr>
              <w:ind w:left="-21" w:leftChars="-10" w:right="-21" w:rightChars="-10"/>
              <w:jc w:val="left"/>
              <w:rPr>
                <w:rFonts w:hint="eastAsia"/>
                <w:szCs w:val="21"/>
              </w:rPr>
            </w:pPr>
            <w:r>
              <w:rPr>
                <w:rFonts w:hint="eastAsia"/>
                <w:szCs w:val="21"/>
              </w:rPr>
              <w:t>交易对方及配套融资方</w:t>
            </w:r>
          </w:p>
        </w:tc>
        <w:tc>
          <w:tcPr>
            <w:tcW w:w="992" w:type="dxa"/>
            <w:shd w:val="clear" w:color="auto" w:fill="FFFFFF"/>
            <w:noWrap w:val="0"/>
            <w:vAlign w:val="center"/>
          </w:tcPr>
          <w:p w14:paraId="5E681C23">
            <w:pPr>
              <w:ind w:left="-21" w:leftChars="-10" w:right="-21" w:rightChars="-10"/>
              <w:rPr>
                <w:rFonts w:hint="eastAsia"/>
                <w:szCs w:val="21"/>
              </w:rPr>
            </w:pPr>
            <w:r>
              <w:rPr>
                <w:rFonts w:hint="eastAsia"/>
                <w:szCs w:val="21"/>
              </w:rPr>
              <w:t>赔偿投资者与暂停转让</w:t>
            </w:r>
          </w:p>
        </w:tc>
        <w:tc>
          <w:tcPr>
            <w:tcW w:w="6721" w:type="dxa"/>
            <w:shd w:val="clear" w:color="auto" w:fill="FFFFFF"/>
            <w:noWrap w:val="0"/>
            <w:vAlign w:val="center"/>
          </w:tcPr>
          <w:p w14:paraId="39907275">
            <w:pPr>
              <w:ind w:left="-21" w:leftChars="-10" w:right="-21" w:rightChars="-10" w:firstLine="420" w:firstLineChars="200"/>
              <w:jc w:val="left"/>
              <w:rPr>
                <w:rFonts w:hint="eastAsia"/>
                <w:szCs w:val="21"/>
              </w:rPr>
            </w:pPr>
            <w:r>
              <w:rPr>
                <w:rFonts w:hint="eastAsia"/>
                <w:szCs w:val="21"/>
              </w:rPr>
              <w:t>如本人/本企业就本次交易所提供或披露的信息涉嫌虚假记载、误导性陈述或者重大遗漏，被司法机关立案侦查或者被中国证监会立案调查的，在形成调查结论以前，本人/本企业不转让在大连国际拥有权益的股份，并于收到立案稽查通知的两个交易日内将暂停转让的书面申请和股票账户提交大连国际董事会，由董事会代为向证券交易所和登记结算公司申请锁定；未在两个交易日内提交锁定申请的，授权董事会核实后直接向证券交易所和登记结算公司报送本人或本企业的身份信息和账户信息并申请锁定；董事会未向证券交易所和登记结算公司报送本人或本企业的身份信息和账户信息的，授权证券交易所和登记结算公司直接锁定相关股份。</w:t>
            </w:r>
          </w:p>
          <w:p w14:paraId="5B742301">
            <w:pPr>
              <w:ind w:left="-21" w:leftChars="-10" w:right="-21" w:rightChars="-10" w:firstLine="420" w:firstLineChars="200"/>
              <w:jc w:val="left"/>
              <w:rPr>
                <w:rFonts w:hint="eastAsia"/>
                <w:szCs w:val="21"/>
              </w:rPr>
            </w:pPr>
            <w:r>
              <w:rPr>
                <w:rFonts w:hint="eastAsia"/>
                <w:szCs w:val="21"/>
              </w:rPr>
              <w:t>如调查结论发现存在违法违规情节，本人/本企业承诺锁定股份自愿用于相关投资者赔偿安排。</w:t>
            </w:r>
          </w:p>
        </w:tc>
        <w:tc>
          <w:tcPr>
            <w:tcW w:w="972" w:type="dxa"/>
            <w:shd w:val="clear" w:color="auto" w:fill="FFFFFF"/>
            <w:noWrap w:val="0"/>
            <w:vAlign w:val="center"/>
          </w:tcPr>
          <w:p w14:paraId="1F4274AF">
            <w:pPr>
              <w:ind w:left="-21" w:leftChars="-10" w:right="-21" w:rightChars="-10"/>
              <w:jc w:val="left"/>
              <w:rPr>
                <w:rFonts w:hint="eastAsia"/>
                <w:szCs w:val="21"/>
              </w:rPr>
            </w:pPr>
            <w:r>
              <w:rPr>
                <w:rFonts w:hint="eastAsia"/>
                <w:szCs w:val="21"/>
              </w:rPr>
              <w:t>履行完毕</w:t>
            </w:r>
          </w:p>
        </w:tc>
      </w:tr>
      <w:tr w14:paraId="5535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47" w:type="dxa"/>
            <w:shd w:val="clear" w:color="auto" w:fill="FFFFFF"/>
            <w:noWrap w:val="0"/>
            <w:vAlign w:val="center"/>
          </w:tcPr>
          <w:p w14:paraId="682D3F63">
            <w:pPr>
              <w:ind w:left="-21" w:leftChars="-10" w:right="-21" w:rightChars="-10"/>
              <w:jc w:val="left"/>
              <w:rPr>
                <w:rFonts w:hint="eastAsia"/>
                <w:szCs w:val="21"/>
              </w:rPr>
            </w:pPr>
            <w:r>
              <w:rPr>
                <w:rFonts w:hint="eastAsia"/>
                <w:szCs w:val="21"/>
              </w:rPr>
              <w:t>除中广核核技术之外的交易对方</w:t>
            </w:r>
          </w:p>
        </w:tc>
        <w:tc>
          <w:tcPr>
            <w:tcW w:w="992" w:type="dxa"/>
            <w:shd w:val="clear" w:color="auto" w:fill="FFFFFF"/>
            <w:noWrap w:val="0"/>
            <w:vAlign w:val="center"/>
          </w:tcPr>
          <w:p w14:paraId="178D4541">
            <w:pPr>
              <w:ind w:left="-21" w:leftChars="-10" w:right="-21" w:rightChars="-10"/>
              <w:rPr>
                <w:szCs w:val="21"/>
              </w:rPr>
            </w:pPr>
            <w:r>
              <w:rPr>
                <w:rFonts w:hint="eastAsia"/>
                <w:szCs w:val="21"/>
              </w:rPr>
              <w:t>关联关系和一致行动</w:t>
            </w:r>
          </w:p>
        </w:tc>
        <w:tc>
          <w:tcPr>
            <w:tcW w:w="6721" w:type="dxa"/>
            <w:shd w:val="clear" w:color="auto" w:fill="FFFFFF"/>
            <w:noWrap w:val="0"/>
            <w:vAlign w:val="center"/>
          </w:tcPr>
          <w:p w14:paraId="106D0C91">
            <w:pPr>
              <w:ind w:left="-21" w:leftChars="-10" w:right="-21" w:rightChars="-10" w:firstLine="420" w:firstLineChars="200"/>
              <w:jc w:val="left"/>
              <w:rPr>
                <w:rFonts w:hint="eastAsia"/>
                <w:szCs w:val="21"/>
              </w:rPr>
            </w:pPr>
            <w:r>
              <w:rPr>
                <w:rFonts w:hint="eastAsia"/>
                <w:szCs w:val="21"/>
              </w:rPr>
              <w:t>一、截至本承诺函出具之日，本人/本企业与大连国际及大连国际的现有关联方之间不存在关联关系。</w:t>
            </w:r>
          </w:p>
          <w:p w14:paraId="10249A38">
            <w:pPr>
              <w:ind w:left="-21" w:leftChars="-10" w:right="-21" w:rightChars="-10" w:firstLine="420" w:firstLineChars="200"/>
              <w:jc w:val="left"/>
              <w:rPr>
                <w:rFonts w:hint="eastAsia"/>
                <w:szCs w:val="21"/>
              </w:rPr>
            </w:pPr>
            <w:r>
              <w:rPr>
                <w:rFonts w:hint="eastAsia"/>
                <w:szCs w:val="21"/>
              </w:rPr>
              <w:t>二、截至本承诺函出具之日，本人/本企业与大连国际本次交易所聘请的相关中介机构及其具体经办人员不存在关联关系。</w:t>
            </w:r>
          </w:p>
          <w:p w14:paraId="13939BCC">
            <w:pPr>
              <w:ind w:left="-21" w:leftChars="-10" w:right="-21" w:rightChars="-10" w:firstLine="420" w:firstLineChars="200"/>
              <w:jc w:val="left"/>
              <w:rPr>
                <w:rFonts w:hint="eastAsia"/>
                <w:szCs w:val="21"/>
              </w:rPr>
            </w:pPr>
            <w:r>
              <w:rPr>
                <w:rFonts w:hint="eastAsia"/>
                <w:szCs w:val="21"/>
              </w:rPr>
              <w:t>三、除在本次交易相关文件中已披露的关系以外，本人/本企业与中广核核技术及其他交易对方之间不存在其他关联关系。</w:t>
            </w:r>
          </w:p>
          <w:p w14:paraId="0845231C">
            <w:pPr>
              <w:ind w:left="-21" w:leftChars="-10" w:right="-21" w:rightChars="-10" w:firstLine="420" w:firstLineChars="200"/>
              <w:jc w:val="left"/>
              <w:rPr>
                <w:rFonts w:hint="eastAsia"/>
                <w:szCs w:val="21"/>
              </w:rPr>
            </w:pPr>
            <w:r>
              <w:rPr>
                <w:rFonts w:hint="eastAsia"/>
                <w:szCs w:val="21"/>
              </w:rPr>
              <w:t>四、本人/本企业拟与中广核核技术签署《一致行动协议》，在大连国际本次交易过程中及本次交易完成后，按照中广核核技术的意见采取一致行动及实施行使表决权、签署文件等行为，届时将成为中广核核技术的一致行动人。</w:t>
            </w:r>
          </w:p>
        </w:tc>
        <w:tc>
          <w:tcPr>
            <w:tcW w:w="972" w:type="dxa"/>
            <w:shd w:val="clear" w:color="auto" w:fill="FFFFFF"/>
            <w:noWrap w:val="0"/>
            <w:vAlign w:val="center"/>
          </w:tcPr>
          <w:p w14:paraId="113CBA1E">
            <w:pPr>
              <w:ind w:left="-21" w:leftChars="-10" w:right="-21" w:rightChars="-10"/>
              <w:jc w:val="left"/>
              <w:rPr>
                <w:rFonts w:hint="eastAsia"/>
                <w:szCs w:val="21"/>
              </w:rPr>
            </w:pPr>
            <w:r>
              <w:rPr>
                <w:rFonts w:hint="eastAsia"/>
                <w:szCs w:val="21"/>
              </w:rPr>
              <w:t>履行完毕</w:t>
            </w:r>
          </w:p>
        </w:tc>
      </w:tr>
      <w:tr w14:paraId="5CE6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47" w:type="dxa"/>
            <w:shd w:val="clear" w:color="auto" w:fill="FFFFFF"/>
            <w:noWrap w:val="0"/>
            <w:vAlign w:val="center"/>
          </w:tcPr>
          <w:p w14:paraId="74A79E77">
            <w:pPr>
              <w:ind w:left="-21" w:leftChars="-10" w:right="-21" w:rightChars="-10"/>
              <w:jc w:val="left"/>
              <w:rPr>
                <w:rFonts w:hint="eastAsia"/>
                <w:szCs w:val="21"/>
              </w:rPr>
            </w:pPr>
            <w:r>
              <w:rPr>
                <w:rFonts w:hint="eastAsia"/>
                <w:szCs w:val="21"/>
              </w:rPr>
              <w:t>交易对方及配套融资方</w:t>
            </w:r>
          </w:p>
        </w:tc>
        <w:tc>
          <w:tcPr>
            <w:tcW w:w="992" w:type="dxa"/>
            <w:shd w:val="clear" w:color="auto" w:fill="FFFFFF"/>
            <w:noWrap w:val="0"/>
            <w:vAlign w:val="center"/>
          </w:tcPr>
          <w:p w14:paraId="53BA2297">
            <w:pPr>
              <w:ind w:left="-21" w:leftChars="-10" w:right="-21" w:rightChars="-10"/>
              <w:rPr>
                <w:rFonts w:hint="eastAsia"/>
                <w:szCs w:val="21"/>
              </w:rPr>
            </w:pPr>
            <w:r>
              <w:rPr>
                <w:rFonts w:hint="eastAsia"/>
                <w:szCs w:val="21"/>
              </w:rPr>
              <w:t>向上市公司推荐董监高</w:t>
            </w:r>
          </w:p>
        </w:tc>
        <w:tc>
          <w:tcPr>
            <w:tcW w:w="6721" w:type="dxa"/>
            <w:shd w:val="clear" w:color="auto" w:fill="FFFFFF"/>
            <w:noWrap w:val="0"/>
            <w:vAlign w:val="center"/>
          </w:tcPr>
          <w:p w14:paraId="203AE734">
            <w:pPr>
              <w:ind w:left="-21" w:leftChars="-10" w:right="-21" w:rightChars="-10" w:firstLine="420" w:firstLineChars="200"/>
              <w:jc w:val="left"/>
              <w:rPr>
                <w:rFonts w:hint="eastAsia"/>
                <w:szCs w:val="21"/>
              </w:rPr>
            </w:pPr>
            <w:r>
              <w:rPr>
                <w:rFonts w:hint="eastAsia"/>
                <w:szCs w:val="21"/>
              </w:rPr>
              <w:t>截至本说明签署日，本公司/本企业/本人不存在向大连国际推荐董事、监事、高级管理人员的情形。</w:t>
            </w:r>
          </w:p>
          <w:p w14:paraId="16967337">
            <w:pPr>
              <w:ind w:left="-21" w:leftChars="-10" w:right="-21" w:rightChars="-10" w:firstLine="420" w:firstLineChars="200"/>
              <w:jc w:val="left"/>
              <w:rPr>
                <w:rFonts w:hint="eastAsia"/>
                <w:szCs w:val="21"/>
              </w:rPr>
            </w:pPr>
            <w:r>
              <w:rPr>
                <w:rFonts w:hint="eastAsia"/>
                <w:szCs w:val="21"/>
              </w:rPr>
              <w:t>本次重大资产重组完成后，上市公司的股东、资产和业务将发生变化，为适应上市公司未来的发展需要，中广核核技术将通过合法程序对上市公司现任董事、监事及高级管理人员进行必要的调整。截至本说明签署日，中广核核技术及交易对方暂无详细的调整计划，待计划形成后将严格按照相关规定履行程序并按照法定要求及时披露。</w:t>
            </w:r>
          </w:p>
        </w:tc>
        <w:tc>
          <w:tcPr>
            <w:tcW w:w="972" w:type="dxa"/>
            <w:shd w:val="clear" w:color="auto" w:fill="FFFFFF"/>
            <w:noWrap w:val="0"/>
            <w:vAlign w:val="center"/>
          </w:tcPr>
          <w:p w14:paraId="63F816A8">
            <w:pPr>
              <w:ind w:left="-21" w:leftChars="-10" w:right="-21" w:rightChars="-10"/>
              <w:jc w:val="left"/>
              <w:rPr>
                <w:rFonts w:hint="eastAsia"/>
                <w:szCs w:val="21"/>
              </w:rPr>
            </w:pPr>
            <w:r>
              <w:rPr>
                <w:rFonts w:hint="eastAsia"/>
                <w:szCs w:val="21"/>
              </w:rPr>
              <w:t>履行完毕</w:t>
            </w:r>
          </w:p>
        </w:tc>
      </w:tr>
      <w:tr w14:paraId="21F9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47" w:type="dxa"/>
            <w:shd w:val="clear" w:color="auto" w:fill="FFFFFF"/>
            <w:noWrap w:val="0"/>
            <w:vAlign w:val="center"/>
          </w:tcPr>
          <w:p w14:paraId="15B608F5">
            <w:pPr>
              <w:ind w:left="-21" w:leftChars="-10" w:right="-21" w:rightChars="-10"/>
              <w:jc w:val="left"/>
              <w:rPr>
                <w:rFonts w:hint="eastAsia"/>
                <w:szCs w:val="21"/>
              </w:rPr>
            </w:pPr>
            <w:r>
              <w:rPr>
                <w:rFonts w:hint="eastAsia"/>
                <w:szCs w:val="21"/>
              </w:rPr>
              <w:t>交易对方</w:t>
            </w:r>
          </w:p>
        </w:tc>
        <w:tc>
          <w:tcPr>
            <w:tcW w:w="992" w:type="dxa"/>
            <w:shd w:val="clear" w:color="auto" w:fill="FFFFFF"/>
            <w:noWrap w:val="0"/>
            <w:vAlign w:val="center"/>
          </w:tcPr>
          <w:p w14:paraId="546D7AC6">
            <w:pPr>
              <w:ind w:left="-21" w:leftChars="-10" w:right="-21" w:rightChars="-10"/>
              <w:rPr>
                <w:rFonts w:hint="eastAsia"/>
                <w:szCs w:val="21"/>
              </w:rPr>
            </w:pPr>
            <w:r>
              <w:rPr>
                <w:rFonts w:hint="eastAsia"/>
                <w:szCs w:val="21"/>
              </w:rPr>
              <w:t>关于资产权属状况及主要负债、或有负债情况</w:t>
            </w:r>
          </w:p>
        </w:tc>
        <w:tc>
          <w:tcPr>
            <w:tcW w:w="6721" w:type="dxa"/>
            <w:shd w:val="clear" w:color="auto" w:fill="FFFFFF"/>
            <w:noWrap w:val="0"/>
            <w:vAlign w:val="center"/>
          </w:tcPr>
          <w:p w14:paraId="23FD73D0">
            <w:pPr>
              <w:ind w:left="-21" w:leftChars="-10" w:right="-21" w:rightChars="-10" w:firstLine="420" w:firstLineChars="200"/>
              <w:jc w:val="left"/>
              <w:rPr>
                <w:rFonts w:hint="eastAsia"/>
                <w:szCs w:val="21"/>
              </w:rPr>
            </w:pPr>
            <w:r>
              <w:rPr>
                <w:rFonts w:hint="eastAsia"/>
                <w:szCs w:val="21"/>
              </w:rPr>
              <w:t>一、本人/本企业已经依法履行对标的资产的出资义务，出资均系自有资金，出资真实且已足额到位，不存在任何虚假出资、延期出资、抽逃出资等违反作为股东所应承担的义务及责任的行为，不存在可能影响标的资产合法存续的情况。</w:t>
            </w:r>
          </w:p>
          <w:p w14:paraId="657A580B">
            <w:pPr>
              <w:ind w:left="-21" w:leftChars="-10" w:right="-21" w:rightChars="-10" w:firstLine="420" w:firstLineChars="200"/>
              <w:jc w:val="left"/>
              <w:rPr>
                <w:rFonts w:hint="eastAsia"/>
                <w:szCs w:val="21"/>
              </w:rPr>
            </w:pPr>
            <w:r>
              <w:rPr>
                <w:rFonts w:hint="eastAsia"/>
                <w:szCs w:val="21"/>
              </w:rPr>
              <w:t>二、本人/本企业合法持有标的资产的股权，对该等股权拥有完整、有效的所有权，该等股权权属清晰，不存在权属争议或者潜在纠纷；截至本承诺函出具之日，本人/本企业持有的标的资产的股权不存在质押、司法冻结或其他权利受到限制的情形。</w:t>
            </w:r>
          </w:p>
          <w:p w14:paraId="3ADCBF16">
            <w:pPr>
              <w:ind w:left="-21" w:leftChars="-10" w:right="-21" w:rightChars="-10" w:firstLine="420" w:firstLineChars="200"/>
              <w:jc w:val="left"/>
              <w:rPr>
                <w:rFonts w:hint="eastAsia"/>
                <w:szCs w:val="21"/>
              </w:rPr>
            </w:pPr>
            <w:r>
              <w:rPr>
                <w:rFonts w:hint="eastAsia"/>
                <w:szCs w:val="21"/>
              </w:rPr>
              <w:t>三、本人/本企业持有的标的资产的股权不存在委托持股、信托持股、其他利益输送安排及任何其他可能使本人/本企业持有的标的资产股权存在争议或潜在争议的情况。</w:t>
            </w:r>
          </w:p>
          <w:p w14:paraId="00AF1BCC">
            <w:pPr>
              <w:ind w:left="-21" w:leftChars="-10" w:right="-21" w:rightChars="-10" w:firstLine="420" w:firstLineChars="200"/>
              <w:jc w:val="left"/>
              <w:rPr>
                <w:rFonts w:hint="eastAsia"/>
                <w:szCs w:val="21"/>
              </w:rPr>
            </w:pPr>
            <w:r>
              <w:rPr>
                <w:rFonts w:hint="eastAsia"/>
                <w:szCs w:val="21"/>
              </w:rPr>
              <w:t>四、本人/本企业已真实、准确、完整地披露了标的资产的主要资产、债权债务及或有负债情况，标的资产对其主要资产拥有完整的所有权和使用权，不存在权属争议或潜在纠纷；标的资产的主要债务、或有负债均系基于正常生产经营活动而产生，除经审计的正常建制的</w:t>
            </w:r>
            <w:r>
              <w:rPr>
                <w:rFonts w:hint="eastAsia"/>
                <w:szCs w:val="21"/>
                <w:lang w:val="en-US" w:eastAsia="zh-CN"/>
              </w:rPr>
              <w:t>账</w:t>
            </w:r>
            <w:r>
              <w:rPr>
                <w:rFonts w:hint="eastAsia"/>
                <w:szCs w:val="21"/>
              </w:rPr>
              <w:t>册和记录上所反映的情况外，标的资产不存在其他未披露的重大债权债务、或有负债。</w:t>
            </w:r>
          </w:p>
        </w:tc>
        <w:tc>
          <w:tcPr>
            <w:tcW w:w="972" w:type="dxa"/>
            <w:shd w:val="clear" w:color="auto" w:fill="FFFFFF"/>
            <w:noWrap w:val="0"/>
            <w:vAlign w:val="center"/>
          </w:tcPr>
          <w:p w14:paraId="666C30C7">
            <w:pPr>
              <w:ind w:left="-21" w:leftChars="-10" w:right="-21" w:rightChars="-10"/>
              <w:jc w:val="left"/>
              <w:rPr>
                <w:rFonts w:hint="eastAsia"/>
                <w:szCs w:val="21"/>
              </w:rPr>
            </w:pPr>
            <w:r>
              <w:rPr>
                <w:rFonts w:hint="eastAsia"/>
                <w:szCs w:val="21"/>
              </w:rPr>
              <w:t>履行完毕</w:t>
            </w:r>
          </w:p>
        </w:tc>
      </w:tr>
    </w:tbl>
    <w:p w14:paraId="1896AE59">
      <w:pPr>
        <w:adjustRightInd w:val="0"/>
        <w:snapToGrid w:val="0"/>
        <w:spacing w:line="360" w:lineRule="auto"/>
        <w:ind w:firstLine="482" w:firstLineChars="200"/>
        <w:rPr>
          <w:rFonts w:hint="eastAsia"/>
          <w:szCs w:val="21"/>
        </w:rPr>
      </w:pPr>
      <w:r>
        <w:rPr>
          <w:rFonts w:hint="eastAsia"/>
          <w:b/>
          <w:bCs/>
          <w:sz w:val="24"/>
          <w:szCs w:val="24"/>
        </w:rPr>
        <w:t>综上，本次申请解除股份限售的股东均严格履行了上述各项承诺</w:t>
      </w:r>
      <w:r>
        <w:rPr>
          <w:rFonts w:hint="eastAsia"/>
          <w:sz w:val="24"/>
          <w:szCs w:val="24"/>
        </w:rPr>
        <w:t>。</w:t>
      </w:r>
    </w:p>
    <w:p w14:paraId="40BDA085">
      <w:pPr>
        <w:adjustRightInd w:val="0"/>
        <w:snapToGrid w:val="0"/>
        <w:spacing w:line="360" w:lineRule="auto"/>
        <w:ind w:firstLine="482" w:firstLineChars="200"/>
        <w:outlineLvl w:val="1"/>
        <w:rPr>
          <w:b/>
          <w:color w:val="000000"/>
          <w:sz w:val="24"/>
          <w:szCs w:val="24"/>
        </w:rPr>
      </w:pPr>
      <w:r>
        <w:rPr>
          <w:rFonts w:hint="eastAsia"/>
          <w:b/>
          <w:color w:val="000000"/>
          <w:sz w:val="24"/>
          <w:szCs w:val="24"/>
        </w:rPr>
        <w:t>（二）其他说明</w:t>
      </w:r>
    </w:p>
    <w:p w14:paraId="4CF82F96">
      <w:pPr>
        <w:adjustRightInd w:val="0"/>
        <w:snapToGrid w:val="0"/>
        <w:spacing w:line="360" w:lineRule="auto"/>
        <w:ind w:firstLine="480" w:firstLineChars="200"/>
        <w:rPr>
          <w:rFonts w:hint="eastAsia"/>
          <w:color w:val="000000"/>
          <w:sz w:val="24"/>
          <w:szCs w:val="24"/>
        </w:rPr>
      </w:pPr>
      <w:r>
        <w:rPr>
          <w:rFonts w:hint="eastAsia"/>
          <w:color w:val="000000"/>
          <w:sz w:val="24"/>
          <w:szCs w:val="24"/>
        </w:rPr>
        <w:t>2016年重大资产重组时，置入资产业绩承诺是按照每家目标公司净利润的合计数作出，并非每家目标公司单独作出，因此由中广核核技术单独与上市公司签署了《盈利补偿协议》及其相关协议，约定由中广核核技术承担目标公司业绩承诺未完成的补偿责任，用于盈利补偿或减值补偿的股份包括中广核核技术自身因出售标的资产而获得的上市股份以及中广核核技术指定的其他交易对方向上市公司自愿交付的上市公司股份。</w:t>
      </w:r>
    </w:p>
    <w:p w14:paraId="746DB16F">
      <w:pPr>
        <w:adjustRightInd w:val="0"/>
        <w:snapToGrid w:val="0"/>
        <w:spacing w:line="360" w:lineRule="auto"/>
        <w:ind w:firstLine="480" w:firstLineChars="200"/>
        <w:rPr>
          <w:rFonts w:hint="eastAsia"/>
          <w:color w:val="000000"/>
          <w:sz w:val="24"/>
          <w:szCs w:val="24"/>
        </w:rPr>
      </w:pPr>
      <w:r>
        <w:rPr>
          <w:rFonts w:hint="eastAsia"/>
          <w:color w:val="000000"/>
          <w:sz w:val="24"/>
          <w:szCs w:val="24"/>
        </w:rPr>
        <w:t>由于中广核核技术承担了业绩承诺未完成的兜底补偿责任，为明确其它目标公司股东的权利与义务，中广核核技术与重大资产重组注入资产七家目标公司中广核高新核材集团有限公司</w:t>
      </w:r>
      <w:r>
        <w:rPr>
          <w:rFonts w:hint="eastAsia"/>
          <w:color w:val="000000"/>
          <w:sz w:val="24"/>
          <w:szCs w:val="24"/>
          <w:lang w:eastAsia="zh-CN"/>
        </w:rPr>
        <w:t>（</w:t>
      </w:r>
      <w:r>
        <w:rPr>
          <w:rFonts w:hint="eastAsia"/>
          <w:color w:val="000000"/>
          <w:sz w:val="24"/>
          <w:szCs w:val="24"/>
          <w:lang w:val="en-US" w:eastAsia="zh-CN"/>
        </w:rPr>
        <w:t>以下简称“高新核材”</w:t>
      </w:r>
      <w:r>
        <w:rPr>
          <w:rFonts w:hint="eastAsia"/>
          <w:color w:val="000000"/>
          <w:sz w:val="24"/>
          <w:szCs w:val="24"/>
          <w:lang w:eastAsia="zh-CN"/>
        </w:rPr>
        <w:t>）</w:t>
      </w:r>
      <w:r>
        <w:rPr>
          <w:rFonts w:hint="eastAsia"/>
          <w:color w:val="000000"/>
          <w:sz w:val="24"/>
          <w:szCs w:val="24"/>
        </w:rPr>
        <w:t>、中广核中科海维科技发展有限公司（已更名为中广核辐照技术有限公司，以下简称“中科海维”）、中广核达胜加速器技术有限公司</w:t>
      </w:r>
      <w:r>
        <w:rPr>
          <w:rFonts w:hint="eastAsia"/>
          <w:color w:val="000000"/>
          <w:sz w:val="24"/>
          <w:szCs w:val="24"/>
          <w:lang w:eastAsia="zh-CN"/>
        </w:rPr>
        <w:t>（</w:t>
      </w:r>
      <w:r>
        <w:rPr>
          <w:rFonts w:hint="eastAsia"/>
          <w:color w:val="000000"/>
          <w:sz w:val="24"/>
          <w:szCs w:val="24"/>
          <w:lang w:val="en-US" w:eastAsia="zh-CN"/>
        </w:rPr>
        <w:t>以下简称“达胜”</w:t>
      </w:r>
      <w:r>
        <w:rPr>
          <w:rFonts w:hint="eastAsia"/>
          <w:color w:val="000000"/>
          <w:sz w:val="24"/>
          <w:szCs w:val="24"/>
          <w:lang w:eastAsia="zh-CN"/>
        </w:rPr>
        <w:t>）</w:t>
      </w:r>
      <w:r>
        <w:rPr>
          <w:rFonts w:hint="eastAsia"/>
          <w:color w:val="000000"/>
          <w:sz w:val="24"/>
          <w:szCs w:val="24"/>
        </w:rPr>
        <w:t>、中广核俊尔新材料有限公司</w:t>
      </w:r>
      <w:r>
        <w:rPr>
          <w:rFonts w:hint="eastAsia"/>
          <w:color w:val="000000"/>
          <w:sz w:val="24"/>
          <w:szCs w:val="24"/>
          <w:lang w:eastAsia="zh-CN"/>
        </w:rPr>
        <w:t>（</w:t>
      </w:r>
      <w:r>
        <w:rPr>
          <w:rFonts w:hint="eastAsia"/>
          <w:color w:val="000000"/>
          <w:sz w:val="24"/>
          <w:szCs w:val="24"/>
          <w:lang w:val="en-US" w:eastAsia="zh-CN"/>
        </w:rPr>
        <w:t>以下简称“俊尔”</w:t>
      </w:r>
      <w:r>
        <w:rPr>
          <w:rFonts w:hint="eastAsia"/>
          <w:color w:val="000000"/>
          <w:sz w:val="24"/>
          <w:szCs w:val="24"/>
          <w:lang w:eastAsia="zh-CN"/>
        </w:rPr>
        <w:t>）</w:t>
      </w:r>
      <w:r>
        <w:rPr>
          <w:rFonts w:hint="eastAsia"/>
          <w:color w:val="000000"/>
          <w:sz w:val="24"/>
          <w:szCs w:val="24"/>
        </w:rPr>
        <w:t>、中广核三角洲集团（苏州）特威有限公司</w:t>
      </w:r>
      <w:r>
        <w:rPr>
          <w:rFonts w:hint="eastAsia"/>
          <w:color w:val="000000"/>
          <w:sz w:val="24"/>
          <w:szCs w:val="24"/>
          <w:lang w:eastAsia="zh-CN"/>
        </w:rPr>
        <w:t>（</w:t>
      </w:r>
      <w:r>
        <w:rPr>
          <w:rFonts w:hint="eastAsia"/>
          <w:color w:val="000000"/>
          <w:sz w:val="24"/>
          <w:szCs w:val="24"/>
          <w:lang w:val="en-US" w:eastAsia="zh-CN"/>
        </w:rPr>
        <w:t>以下简称“特威”</w:t>
      </w:r>
      <w:r>
        <w:rPr>
          <w:rFonts w:hint="eastAsia"/>
          <w:color w:val="000000"/>
          <w:sz w:val="24"/>
          <w:szCs w:val="24"/>
          <w:lang w:eastAsia="zh-CN"/>
        </w:rPr>
        <w:t>）</w:t>
      </w:r>
      <w:r>
        <w:rPr>
          <w:rFonts w:hint="eastAsia"/>
          <w:color w:val="000000"/>
          <w:sz w:val="24"/>
          <w:szCs w:val="24"/>
        </w:rPr>
        <w:t>、中广核拓普（湖北）新材料有限公司</w:t>
      </w:r>
      <w:r>
        <w:rPr>
          <w:rFonts w:hint="eastAsia"/>
          <w:color w:val="000000"/>
          <w:sz w:val="24"/>
          <w:szCs w:val="24"/>
          <w:lang w:eastAsia="zh-CN"/>
        </w:rPr>
        <w:t>（</w:t>
      </w:r>
      <w:r>
        <w:rPr>
          <w:rFonts w:hint="eastAsia"/>
          <w:color w:val="000000"/>
          <w:sz w:val="24"/>
          <w:szCs w:val="24"/>
          <w:lang w:val="en-US" w:eastAsia="zh-CN"/>
        </w:rPr>
        <w:t>以下简称“拓普”</w:t>
      </w:r>
      <w:r>
        <w:rPr>
          <w:rFonts w:hint="eastAsia"/>
          <w:color w:val="000000"/>
          <w:sz w:val="24"/>
          <w:szCs w:val="24"/>
          <w:lang w:eastAsia="zh-CN"/>
        </w:rPr>
        <w:t>）</w:t>
      </w:r>
      <w:r>
        <w:rPr>
          <w:rFonts w:hint="eastAsia"/>
          <w:color w:val="000000"/>
          <w:sz w:val="24"/>
          <w:szCs w:val="24"/>
        </w:rPr>
        <w:t>、深圳中广核沃尔辐照技术有限公司</w:t>
      </w:r>
      <w:r>
        <w:rPr>
          <w:rFonts w:hint="eastAsia"/>
          <w:color w:val="000000"/>
          <w:sz w:val="24"/>
          <w:szCs w:val="24"/>
          <w:lang w:eastAsia="zh-CN"/>
        </w:rPr>
        <w:t>（</w:t>
      </w:r>
      <w:r>
        <w:rPr>
          <w:rFonts w:hint="eastAsia"/>
          <w:color w:val="000000"/>
          <w:sz w:val="24"/>
          <w:szCs w:val="24"/>
          <w:lang w:val="en-US" w:eastAsia="zh-CN"/>
        </w:rPr>
        <w:t>已更名为中广核金沃科技有限公司，以下简称“深圳沃尔”</w:t>
      </w:r>
      <w:r>
        <w:rPr>
          <w:rFonts w:hint="eastAsia"/>
          <w:color w:val="000000"/>
          <w:sz w:val="24"/>
          <w:szCs w:val="24"/>
          <w:lang w:eastAsia="zh-CN"/>
        </w:rPr>
        <w:t>）</w:t>
      </w:r>
      <w:r>
        <w:rPr>
          <w:rFonts w:hint="eastAsia"/>
          <w:color w:val="000000"/>
          <w:sz w:val="24"/>
          <w:szCs w:val="24"/>
        </w:rPr>
        <w:t>原少数股东分别签订了关于各目标公司的《资产重组之利润保障协议》，对利润保障、质押与解禁、违约责任等进行了安排，其中关于解除限售约定如下：交易对方所持股份在资产重组利润保障期结束并完成所有清偿义务后，按照中广核核技术收购目标公司时的估值除以上市公司发行股份购买资产的价格（即8.77元/股）的股份可以解禁；剩余股票的50%，于第一批解禁一年后，交易对方及其关联方未违反竞业禁止义务且目标公司最近一年末经审计的归母净利润不低于2018年度经审计的归母净利润</w:t>
      </w:r>
      <w:r>
        <w:rPr>
          <w:rFonts w:hint="eastAsia"/>
          <w:color w:val="000000"/>
          <w:sz w:val="24"/>
          <w:szCs w:val="24"/>
          <w:lang w:eastAsia="zh-CN"/>
        </w:rPr>
        <w:t>（扣除非经常性损益后）</w:t>
      </w:r>
      <w:r>
        <w:rPr>
          <w:rFonts w:hint="eastAsia"/>
          <w:color w:val="000000"/>
          <w:sz w:val="24"/>
          <w:szCs w:val="24"/>
        </w:rPr>
        <w:t>时可以解禁；余下股份，于第二批解禁一年后，交易对方及其关联方未违反竞业禁止义务且目标公司最近一年末经审计的归母净利润不低于2018年度经审计的归母净利润（扣除非经常性损益后）时可以解禁；若上述第二批解禁、第三批解禁时未能达到约定要求的，则相应顺延一年，但顺延最长不超过三年。</w:t>
      </w:r>
    </w:p>
    <w:p w14:paraId="53832E3A">
      <w:pPr>
        <w:adjustRightInd w:val="0"/>
        <w:snapToGrid w:val="0"/>
        <w:spacing w:line="360" w:lineRule="auto"/>
        <w:ind w:firstLine="482" w:firstLineChars="200"/>
        <w:rPr>
          <w:rFonts w:hint="default"/>
          <w:b/>
          <w:bCs/>
          <w:color w:val="000000"/>
          <w:sz w:val="24"/>
          <w:szCs w:val="24"/>
          <w:lang w:val="en-US" w:eastAsia="zh-CN"/>
        </w:rPr>
      </w:pPr>
      <w:r>
        <w:rPr>
          <w:rFonts w:hint="eastAsia"/>
          <w:b/>
          <w:bCs/>
          <w:color w:val="000000"/>
          <w:sz w:val="24"/>
          <w:szCs w:val="24"/>
          <w:lang w:val="en-US" w:eastAsia="zh-CN"/>
        </w:rPr>
        <w:t>1.标的公司深圳沃尔、达胜、特威原小股东本次申请第三批解禁</w:t>
      </w:r>
    </w:p>
    <w:p w14:paraId="01282A0B">
      <w:pPr>
        <w:adjustRightInd w:val="0"/>
        <w:snapToGrid w:val="0"/>
        <w:spacing w:line="360" w:lineRule="auto"/>
        <w:ind w:firstLine="480" w:firstLineChars="200"/>
        <w:rPr>
          <w:rFonts w:hint="eastAsia"/>
          <w:color w:val="000000"/>
          <w:sz w:val="24"/>
          <w:szCs w:val="24"/>
          <w:lang w:val="en-US" w:eastAsia="zh-CN"/>
        </w:rPr>
      </w:pPr>
      <w:r>
        <w:rPr>
          <w:rFonts w:hint="eastAsia"/>
          <w:color w:val="000000"/>
          <w:sz w:val="24"/>
          <w:szCs w:val="24"/>
          <w:lang w:eastAsia="zh-CN"/>
        </w:rPr>
        <w:t>根据中广核核技术申请，上市公司在2020年</w:t>
      </w:r>
      <w:r>
        <w:rPr>
          <w:rFonts w:hint="eastAsia"/>
          <w:color w:val="000000"/>
          <w:sz w:val="24"/>
          <w:szCs w:val="24"/>
          <w:lang w:val="en-US" w:eastAsia="zh-CN"/>
        </w:rPr>
        <w:t>4月</w:t>
      </w:r>
      <w:r>
        <w:rPr>
          <w:rFonts w:hint="eastAsia"/>
          <w:color w:val="000000"/>
          <w:sz w:val="24"/>
          <w:szCs w:val="24"/>
          <w:lang w:eastAsia="zh-CN"/>
        </w:rPr>
        <w:t>为深圳沃尔、达胜、特威三家公司原小股东办理了首批解禁</w:t>
      </w:r>
      <w:r>
        <w:rPr>
          <w:rFonts w:hint="eastAsia"/>
          <w:color w:val="000000"/>
          <w:sz w:val="24"/>
          <w:szCs w:val="24"/>
          <w:lang w:val="en-US" w:eastAsia="zh-CN"/>
        </w:rPr>
        <w:t>；由于2021年度、2022年度、2023年度深圳沃尔、达胜、特威扣除非经常性损益后的归属于母公司的净利润均低于资产重组利润保障期最后一年（2018年）的扣除非经常性损益后归属于母公司的净利润，不符合协议约定已顺延三年，2024年6月上市公司为其办理了第二批股票解禁；根据协议约定，第三批股票在于第二批股票解禁一年后解禁，由于第二批和第三批累计顺延已满3年且未违反竞业限制义务，中广核核技术向上市公司董事会申请为其办理第三批股票解禁。</w:t>
      </w:r>
    </w:p>
    <w:p w14:paraId="174F93D7">
      <w:pPr>
        <w:adjustRightInd w:val="0"/>
        <w:snapToGrid w:val="0"/>
        <w:spacing w:line="360" w:lineRule="auto"/>
        <w:ind w:firstLine="482" w:firstLineChars="200"/>
        <w:rPr>
          <w:rFonts w:hint="eastAsia"/>
          <w:b/>
          <w:bCs/>
          <w:color w:val="000000"/>
          <w:sz w:val="24"/>
          <w:szCs w:val="24"/>
          <w:lang w:val="en-US" w:eastAsia="zh-CN"/>
        </w:rPr>
      </w:pPr>
      <w:r>
        <w:rPr>
          <w:rFonts w:hint="eastAsia"/>
          <w:b/>
          <w:bCs/>
          <w:color w:val="000000"/>
          <w:sz w:val="24"/>
          <w:szCs w:val="24"/>
          <w:lang w:val="en-US" w:eastAsia="zh-CN"/>
        </w:rPr>
        <w:t>2.标的公司高新核材原小股东本次申请第三批解禁</w:t>
      </w:r>
    </w:p>
    <w:p w14:paraId="73235584">
      <w:pPr>
        <w:adjustRightInd w:val="0"/>
        <w:snapToGrid w:val="0"/>
        <w:spacing w:line="360" w:lineRule="auto"/>
        <w:ind w:firstLine="480" w:firstLineChars="200"/>
        <w:rPr>
          <w:rFonts w:hint="default"/>
          <w:color w:val="000000"/>
          <w:sz w:val="24"/>
          <w:szCs w:val="24"/>
          <w:lang w:val="en-US" w:eastAsia="zh-CN"/>
        </w:rPr>
      </w:pPr>
      <w:r>
        <w:rPr>
          <w:rFonts w:hint="default"/>
          <w:color w:val="000000"/>
          <w:sz w:val="24"/>
          <w:szCs w:val="24"/>
          <w:lang w:val="en-US" w:eastAsia="zh-CN"/>
        </w:rPr>
        <w:t>根据中广核核技术申请，上市公司在2020年4月为高新核材原小股东办理了首批解禁；</w:t>
      </w:r>
      <w:r>
        <w:rPr>
          <w:rFonts w:hint="eastAsia"/>
          <w:color w:val="000000"/>
          <w:sz w:val="24"/>
          <w:szCs w:val="24"/>
          <w:lang w:val="en-US" w:eastAsia="zh-CN"/>
        </w:rPr>
        <w:t>由于2020年度高新核材扣除非经常性损益后的归属于母公司的净利润高于资产重组利润保障期最后一年（2018年）的扣除非经常性损益后归属于母公司的净利润，上市公司在2021年6月为高新核材原小股东办理了第二批解禁；根据协议约定，第三批股票在于第二批股票解禁一年后解禁，第三批股票因高新核材净利润不符合协议约定已顺延三年未解禁，且未违反竞业限制义务，中广核核技术向上市公司董事会申请为其办理第三批股票解禁。</w:t>
      </w:r>
    </w:p>
    <w:p w14:paraId="1FF63BE0">
      <w:pPr>
        <w:adjustRightInd w:val="0"/>
        <w:snapToGrid w:val="0"/>
        <w:spacing w:line="360" w:lineRule="auto"/>
        <w:ind w:firstLine="482" w:firstLineChars="200"/>
        <w:rPr>
          <w:rFonts w:hint="default"/>
          <w:b/>
          <w:bCs/>
          <w:color w:val="000000"/>
          <w:sz w:val="24"/>
          <w:szCs w:val="24"/>
          <w:lang w:val="en-US" w:eastAsia="zh-CN"/>
        </w:rPr>
      </w:pPr>
      <w:r>
        <w:rPr>
          <w:rFonts w:hint="eastAsia"/>
          <w:b/>
          <w:bCs/>
          <w:color w:val="000000"/>
          <w:sz w:val="24"/>
          <w:szCs w:val="24"/>
          <w:lang w:val="en-US" w:eastAsia="zh-CN"/>
        </w:rPr>
        <w:t>3.标的公司俊尔原小股东苏州科荣创业投资中心（有限合伙）本次申请第一批解禁</w:t>
      </w:r>
    </w:p>
    <w:p w14:paraId="58D2DBC1">
      <w:pPr>
        <w:adjustRightInd w:val="0"/>
        <w:snapToGrid w:val="0"/>
        <w:spacing w:line="360" w:lineRule="auto"/>
        <w:ind w:firstLine="480" w:firstLineChars="200"/>
        <w:rPr>
          <w:rFonts w:hint="default"/>
          <w:color w:val="000000"/>
          <w:sz w:val="24"/>
          <w:szCs w:val="24"/>
          <w:lang w:val="en-US" w:eastAsia="zh-CN"/>
        </w:rPr>
      </w:pPr>
      <w:r>
        <w:rPr>
          <w:rFonts w:hint="eastAsia"/>
          <w:color w:val="000000"/>
          <w:sz w:val="24"/>
          <w:szCs w:val="24"/>
          <w:lang w:val="en-US" w:eastAsia="zh-CN"/>
        </w:rPr>
        <w:t>由于</w:t>
      </w:r>
      <w:r>
        <w:rPr>
          <w:rFonts w:hint="default"/>
          <w:color w:val="000000"/>
          <w:sz w:val="24"/>
          <w:szCs w:val="24"/>
          <w:lang w:val="en-US" w:eastAsia="zh-CN"/>
        </w:rPr>
        <w:t>苏州科荣创业投资中心（有限合伙）</w:t>
      </w:r>
      <w:r>
        <w:rPr>
          <w:rFonts w:hint="eastAsia"/>
          <w:color w:val="000000"/>
          <w:sz w:val="24"/>
          <w:szCs w:val="24"/>
          <w:lang w:val="en-US" w:eastAsia="zh-CN"/>
        </w:rPr>
        <w:t>（以下简称“</w:t>
      </w:r>
      <w:r>
        <w:rPr>
          <w:rFonts w:hint="default"/>
          <w:color w:val="000000"/>
          <w:sz w:val="24"/>
          <w:szCs w:val="24"/>
          <w:lang w:val="en-US" w:eastAsia="zh-CN"/>
        </w:rPr>
        <w:t>苏州科荣</w:t>
      </w:r>
      <w:r>
        <w:rPr>
          <w:rFonts w:hint="eastAsia"/>
          <w:color w:val="000000"/>
          <w:sz w:val="24"/>
          <w:szCs w:val="24"/>
          <w:lang w:val="en-US" w:eastAsia="zh-CN"/>
        </w:rPr>
        <w:t>”）已完成所有清偿义务，</w:t>
      </w:r>
      <w:r>
        <w:rPr>
          <w:rFonts w:hint="default"/>
          <w:color w:val="000000"/>
          <w:sz w:val="24"/>
          <w:szCs w:val="24"/>
          <w:lang w:val="en-US" w:eastAsia="zh-CN"/>
        </w:rPr>
        <w:t>依据《资产重组之利润保障协议》约定</w:t>
      </w:r>
      <w:r>
        <w:rPr>
          <w:rFonts w:hint="eastAsia"/>
          <w:color w:val="000000"/>
          <w:sz w:val="24"/>
          <w:szCs w:val="24"/>
          <w:lang w:val="en-US" w:eastAsia="zh-CN"/>
        </w:rPr>
        <w:t>，第一批可解禁数量为2,245,847股，中广核核技术</w:t>
      </w:r>
      <w:r>
        <w:rPr>
          <w:rFonts w:hint="default"/>
          <w:color w:val="000000"/>
          <w:sz w:val="24"/>
          <w:szCs w:val="24"/>
          <w:lang w:val="en-US" w:eastAsia="zh-CN"/>
        </w:rPr>
        <w:t>向上市公司董事会申请</w:t>
      </w:r>
      <w:r>
        <w:rPr>
          <w:rFonts w:hint="eastAsia"/>
          <w:color w:val="000000"/>
          <w:sz w:val="24"/>
          <w:szCs w:val="24"/>
          <w:lang w:val="en-US" w:eastAsia="zh-CN"/>
        </w:rPr>
        <w:t>为其</w:t>
      </w:r>
      <w:r>
        <w:rPr>
          <w:rFonts w:hint="default"/>
          <w:color w:val="000000"/>
          <w:sz w:val="24"/>
          <w:szCs w:val="24"/>
          <w:lang w:val="en-US" w:eastAsia="zh-CN"/>
        </w:rPr>
        <w:t>办理第一批限售股份上市流通手续。</w:t>
      </w:r>
    </w:p>
    <w:p w14:paraId="3A78D955">
      <w:pPr>
        <w:adjustRightInd w:val="0"/>
        <w:snapToGrid w:val="0"/>
        <w:spacing w:line="360" w:lineRule="auto"/>
        <w:ind w:firstLine="480" w:firstLineChars="200"/>
        <w:rPr>
          <w:rFonts w:hint="eastAsia"/>
          <w:sz w:val="24"/>
          <w:szCs w:val="24"/>
        </w:rPr>
      </w:pPr>
      <w:r>
        <w:rPr>
          <w:rFonts w:hint="eastAsia"/>
          <w:color w:val="000000"/>
          <w:sz w:val="24"/>
          <w:szCs w:val="24"/>
          <w:lang w:val="en-US" w:eastAsia="zh-CN"/>
        </w:rPr>
        <w:t>公司董事会</w:t>
      </w:r>
      <w:r>
        <w:rPr>
          <w:rFonts w:hint="eastAsia"/>
          <w:color w:val="000000"/>
          <w:sz w:val="24"/>
          <w:szCs w:val="24"/>
        </w:rPr>
        <w:t>根据《上市公司自律监管指引第1号——主板上市公司规范运作》的规定、《资产重组之利润保障协议》的约定以及履约情况办理</w:t>
      </w:r>
      <w:r>
        <w:rPr>
          <w:rFonts w:hint="eastAsia"/>
          <w:color w:val="000000"/>
          <w:sz w:val="24"/>
          <w:szCs w:val="24"/>
          <w:lang w:val="en-US" w:eastAsia="zh-CN"/>
        </w:rPr>
        <w:t>其</w:t>
      </w:r>
      <w:r>
        <w:rPr>
          <w:rFonts w:hint="eastAsia"/>
          <w:color w:val="000000"/>
          <w:sz w:val="24"/>
          <w:szCs w:val="24"/>
        </w:rPr>
        <w:t>股份解限售工作。</w:t>
      </w:r>
    </w:p>
    <w:p w14:paraId="407FFAD6">
      <w:pPr>
        <w:adjustRightInd w:val="0"/>
        <w:snapToGrid w:val="0"/>
        <w:spacing w:line="360" w:lineRule="auto"/>
        <w:ind w:firstLine="482" w:firstLineChars="200"/>
        <w:outlineLvl w:val="1"/>
        <w:rPr>
          <w:rFonts w:hint="eastAsia"/>
          <w:b/>
          <w:color w:val="000000"/>
          <w:sz w:val="24"/>
          <w:szCs w:val="24"/>
        </w:rPr>
      </w:pPr>
      <w:r>
        <w:rPr>
          <w:rFonts w:hint="eastAsia"/>
          <w:b/>
          <w:color w:val="000000"/>
          <w:sz w:val="24"/>
          <w:szCs w:val="24"/>
        </w:rPr>
        <w:t>（三）本次申请解除限售股东是否存在非经营性占用资金等情况</w:t>
      </w:r>
    </w:p>
    <w:p w14:paraId="00B10776">
      <w:pPr>
        <w:adjustRightInd w:val="0"/>
        <w:snapToGrid w:val="0"/>
        <w:spacing w:line="360" w:lineRule="auto"/>
        <w:ind w:firstLine="480" w:firstLineChars="200"/>
        <w:rPr>
          <w:rFonts w:hint="eastAsia"/>
          <w:sz w:val="24"/>
          <w:szCs w:val="24"/>
        </w:rPr>
      </w:pPr>
      <w:r>
        <w:rPr>
          <w:rFonts w:hint="eastAsia"/>
          <w:sz w:val="24"/>
          <w:szCs w:val="24"/>
        </w:rPr>
        <w:t>本次申请解除股份限售的股东均不存在对公司的非经营性资金占用情况，公司亦不存在对该等股东违规担保情况。</w:t>
      </w:r>
    </w:p>
    <w:p w14:paraId="024E29A7">
      <w:pPr>
        <w:adjustRightInd w:val="0"/>
        <w:snapToGrid w:val="0"/>
        <w:spacing w:before="156" w:beforeLines="50" w:line="360" w:lineRule="auto"/>
        <w:ind w:firstLine="482" w:firstLineChars="200"/>
        <w:outlineLvl w:val="0"/>
        <w:rPr>
          <w:b/>
          <w:color w:val="000000"/>
          <w:sz w:val="24"/>
          <w:szCs w:val="24"/>
        </w:rPr>
      </w:pPr>
      <w:r>
        <w:rPr>
          <w:rFonts w:hint="eastAsia"/>
          <w:b/>
          <w:color w:val="000000"/>
          <w:sz w:val="24"/>
          <w:szCs w:val="24"/>
        </w:rPr>
        <w:t>三、本次限售股份上市流通安排</w:t>
      </w:r>
    </w:p>
    <w:p w14:paraId="1C9E3070">
      <w:pPr>
        <w:adjustRightInd w:val="0"/>
        <w:snapToGrid w:val="0"/>
        <w:spacing w:line="360" w:lineRule="auto"/>
        <w:ind w:firstLine="480" w:firstLineChars="200"/>
        <w:rPr>
          <w:rFonts w:hint="eastAsia"/>
          <w:sz w:val="24"/>
          <w:szCs w:val="24"/>
          <w:highlight w:val="none"/>
        </w:rPr>
      </w:pPr>
      <w:r>
        <w:rPr>
          <w:rFonts w:hint="eastAsia"/>
          <w:sz w:val="24"/>
          <w:szCs w:val="24"/>
          <w:highlight w:val="none"/>
        </w:rPr>
        <w:t>1</w:t>
      </w:r>
      <w:r>
        <w:rPr>
          <w:rFonts w:hint="eastAsia"/>
          <w:sz w:val="24"/>
          <w:szCs w:val="24"/>
          <w:highlight w:val="none"/>
          <w:lang w:eastAsia="zh-CN"/>
        </w:rPr>
        <w:t>.</w:t>
      </w:r>
      <w:r>
        <w:rPr>
          <w:rFonts w:hint="eastAsia"/>
          <w:sz w:val="24"/>
          <w:szCs w:val="24"/>
          <w:highlight w:val="none"/>
        </w:rPr>
        <w:t>本次解除限售的流通股上市日期为202</w:t>
      </w:r>
      <w:r>
        <w:rPr>
          <w:rFonts w:hint="eastAsia"/>
          <w:sz w:val="24"/>
          <w:szCs w:val="24"/>
          <w:highlight w:val="none"/>
          <w:lang w:val="en-US" w:eastAsia="zh-CN"/>
        </w:rPr>
        <w:t>5</w:t>
      </w:r>
      <w:r>
        <w:rPr>
          <w:rFonts w:hint="eastAsia"/>
          <w:sz w:val="24"/>
          <w:szCs w:val="24"/>
          <w:highlight w:val="none"/>
        </w:rPr>
        <w:t>年</w:t>
      </w:r>
      <w:r>
        <w:rPr>
          <w:rFonts w:hint="eastAsia"/>
          <w:sz w:val="24"/>
          <w:szCs w:val="24"/>
          <w:highlight w:val="none"/>
          <w:lang w:val="en-US" w:eastAsia="zh-CN"/>
        </w:rPr>
        <w:t>7</w:t>
      </w:r>
      <w:r>
        <w:rPr>
          <w:rFonts w:hint="eastAsia"/>
          <w:sz w:val="24"/>
          <w:szCs w:val="24"/>
          <w:highlight w:val="none"/>
        </w:rPr>
        <w:t>月</w:t>
      </w:r>
      <w:r>
        <w:rPr>
          <w:rFonts w:hint="eastAsia"/>
          <w:sz w:val="24"/>
          <w:szCs w:val="24"/>
          <w:highlight w:val="none"/>
          <w:lang w:val="en-US" w:eastAsia="zh-CN"/>
        </w:rPr>
        <w:t>1</w:t>
      </w:r>
      <w:r>
        <w:rPr>
          <w:rFonts w:hint="eastAsia"/>
          <w:sz w:val="24"/>
          <w:szCs w:val="24"/>
          <w:highlight w:val="none"/>
        </w:rPr>
        <w:t>日。</w:t>
      </w:r>
    </w:p>
    <w:p w14:paraId="60A2C353">
      <w:pPr>
        <w:adjustRightInd w:val="0"/>
        <w:snapToGrid w:val="0"/>
        <w:spacing w:line="360" w:lineRule="auto"/>
        <w:ind w:firstLine="480" w:firstLineChars="200"/>
        <w:rPr>
          <w:rFonts w:hint="eastAsia"/>
          <w:sz w:val="24"/>
          <w:szCs w:val="24"/>
        </w:rPr>
      </w:pPr>
      <w:r>
        <w:rPr>
          <w:rFonts w:hint="eastAsia"/>
          <w:sz w:val="24"/>
          <w:szCs w:val="24"/>
        </w:rPr>
        <w:t>2</w:t>
      </w:r>
      <w:r>
        <w:rPr>
          <w:rFonts w:hint="eastAsia"/>
          <w:sz w:val="24"/>
          <w:szCs w:val="24"/>
          <w:lang w:eastAsia="zh-CN"/>
        </w:rPr>
        <w:t>.</w:t>
      </w:r>
      <w:r>
        <w:rPr>
          <w:rFonts w:hint="eastAsia"/>
          <w:sz w:val="24"/>
          <w:szCs w:val="24"/>
        </w:rPr>
        <w:t>根据相关股东提出的解限售申请，本次解除限售的流通股涉及股东2</w:t>
      </w:r>
      <w:r>
        <w:rPr>
          <w:rFonts w:hint="eastAsia"/>
          <w:sz w:val="24"/>
          <w:szCs w:val="24"/>
          <w:lang w:val="en-US" w:eastAsia="zh-CN"/>
        </w:rPr>
        <w:t>5</w:t>
      </w:r>
      <w:r>
        <w:rPr>
          <w:rFonts w:hint="eastAsia"/>
          <w:sz w:val="24"/>
          <w:szCs w:val="24"/>
        </w:rPr>
        <w:t>名，解除限售股份数量为43,393,059股，占公司总股本的4.5898%</w:t>
      </w:r>
      <w:r>
        <w:rPr>
          <w:rFonts w:hint="eastAsia"/>
          <w:sz w:val="24"/>
          <w:szCs w:val="24"/>
          <w:lang w:eastAsia="zh-CN"/>
        </w:rPr>
        <w:t>。</w:t>
      </w:r>
    </w:p>
    <w:p w14:paraId="412BE131">
      <w:pPr>
        <w:adjustRightInd w:val="0"/>
        <w:snapToGrid w:val="0"/>
        <w:spacing w:line="360" w:lineRule="auto"/>
        <w:ind w:firstLine="480" w:firstLineChars="200"/>
        <w:rPr>
          <w:rFonts w:hint="eastAsia"/>
          <w:sz w:val="24"/>
          <w:szCs w:val="24"/>
        </w:rPr>
      </w:pPr>
      <w:r>
        <w:rPr>
          <w:rFonts w:hint="eastAsia"/>
          <w:sz w:val="24"/>
          <w:szCs w:val="24"/>
        </w:rPr>
        <w:t>具体明细如下：</w:t>
      </w:r>
    </w:p>
    <w:tbl>
      <w:tblPr>
        <w:tblStyle w:val="11"/>
        <w:tblW w:w="930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8"/>
        <w:gridCol w:w="2162"/>
        <w:gridCol w:w="1243"/>
        <w:gridCol w:w="1350"/>
        <w:gridCol w:w="1843"/>
        <w:gridCol w:w="1189"/>
        <w:gridCol w:w="1061"/>
      </w:tblGrid>
      <w:tr w14:paraId="639A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trPr>
        <w:tc>
          <w:tcPr>
            <w:tcW w:w="458" w:type="dxa"/>
            <w:shd w:val="clear" w:color="auto" w:fill="D7D7D7"/>
            <w:vAlign w:val="center"/>
          </w:tcPr>
          <w:p w14:paraId="77F6141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162" w:type="dxa"/>
            <w:shd w:val="clear" w:color="auto" w:fill="D7D7D7"/>
            <w:vAlign w:val="center"/>
          </w:tcPr>
          <w:p w14:paraId="070403C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限售股份持有人名称</w:t>
            </w:r>
          </w:p>
        </w:tc>
        <w:tc>
          <w:tcPr>
            <w:tcW w:w="1243" w:type="dxa"/>
            <w:shd w:val="clear" w:color="auto" w:fill="D7D7D7"/>
            <w:vAlign w:val="center"/>
          </w:tcPr>
          <w:p w14:paraId="4180809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持有限售股份数（股）</w:t>
            </w:r>
          </w:p>
        </w:tc>
        <w:tc>
          <w:tcPr>
            <w:tcW w:w="1350" w:type="dxa"/>
            <w:shd w:val="clear" w:color="auto" w:fill="D9D9D9"/>
            <w:vAlign w:val="center"/>
          </w:tcPr>
          <w:p w14:paraId="583CDD9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本次可上市流通股数（股）</w:t>
            </w:r>
          </w:p>
        </w:tc>
        <w:tc>
          <w:tcPr>
            <w:tcW w:w="1843" w:type="dxa"/>
            <w:shd w:val="clear" w:color="auto" w:fill="D9D9D9"/>
            <w:vAlign w:val="center"/>
          </w:tcPr>
          <w:p w14:paraId="50A72EF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本次可上市流通股数占公司总股本的比例（％）</w:t>
            </w:r>
          </w:p>
        </w:tc>
        <w:tc>
          <w:tcPr>
            <w:tcW w:w="1189" w:type="dxa"/>
            <w:shd w:val="clear" w:color="auto" w:fill="D9D9D9"/>
            <w:vAlign w:val="center"/>
          </w:tcPr>
          <w:p w14:paraId="549BD844">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cs="宋体"/>
                <w:color w:val="000000"/>
                <w:kern w:val="0"/>
                <w:szCs w:val="21"/>
                <w:highlight w:val="none"/>
                <w:u w:val="none"/>
                <w:lang w:bidi="ar"/>
              </w:rPr>
              <w:t>本次可上市流通股数</w:t>
            </w:r>
            <w:r>
              <w:rPr>
                <w:rFonts w:hint="eastAsia" w:ascii="宋体" w:hAnsi="宋体" w:cs="宋体"/>
                <w:color w:val="000000"/>
                <w:kern w:val="0"/>
                <w:szCs w:val="21"/>
                <w:highlight w:val="none"/>
                <w:u w:val="none"/>
                <w:lang w:val="en-US" w:eastAsia="zh-CN" w:bidi="ar"/>
              </w:rPr>
              <w:t>的质押、冻结</w:t>
            </w:r>
            <w:r>
              <w:rPr>
                <w:rFonts w:hint="eastAsia" w:ascii="宋体" w:hAnsi="宋体" w:cs="宋体"/>
                <w:b w:val="0"/>
                <w:bCs w:val="0"/>
                <w:i w:val="0"/>
                <w:iCs w:val="0"/>
                <w:color w:val="000000"/>
                <w:kern w:val="0"/>
                <w:sz w:val="21"/>
                <w:szCs w:val="21"/>
                <w:highlight w:val="none"/>
                <w:u w:val="none"/>
                <w:lang w:val="en-US" w:eastAsia="zh-CN" w:bidi="ar"/>
              </w:rPr>
              <w:t>情况</w:t>
            </w:r>
          </w:p>
        </w:tc>
        <w:tc>
          <w:tcPr>
            <w:tcW w:w="1061" w:type="dxa"/>
            <w:shd w:val="clear" w:color="auto" w:fill="D9D9D9"/>
            <w:noWrap/>
            <w:vAlign w:val="center"/>
          </w:tcPr>
          <w:p w14:paraId="406FAF4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备注</w:t>
            </w:r>
          </w:p>
        </w:tc>
      </w:tr>
      <w:tr w14:paraId="028E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58" w:type="dxa"/>
            <w:shd w:val="clear" w:color="auto" w:fill="auto"/>
            <w:vAlign w:val="center"/>
          </w:tcPr>
          <w:p w14:paraId="0BDA4E49">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2162" w:type="dxa"/>
            <w:shd w:val="clear" w:color="auto" w:fill="auto"/>
            <w:vAlign w:val="center"/>
          </w:tcPr>
          <w:p w14:paraId="0DAF867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苏州科荣创业投资中心（有限合伙）</w:t>
            </w:r>
          </w:p>
        </w:tc>
        <w:tc>
          <w:tcPr>
            <w:tcW w:w="1243" w:type="dxa"/>
            <w:shd w:val="clear" w:color="auto" w:fill="auto"/>
            <w:vAlign w:val="center"/>
          </w:tcPr>
          <w:p w14:paraId="2D13747A">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3,072,795</w:t>
            </w:r>
          </w:p>
        </w:tc>
        <w:tc>
          <w:tcPr>
            <w:tcW w:w="1350" w:type="dxa"/>
            <w:shd w:val="clear" w:color="auto" w:fill="auto"/>
            <w:noWrap/>
            <w:vAlign w:val="center"/>
          </w:tcPr>
          <w:p w14:paraId="03B79C83">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2,245,847</w:t>
            </w:r>
          </w:p>
        </w:tc>
        <w:tc>
          <w:tcPr>
            <w:tcW w:w="1843" w:type="dxa"/>
            <w:shd w:val="clear" w:color="auto" w:fill="auto"/>
            <w:vAlign w:val="center"/>
          </w:tcPr>
          <w:p w14:paraId="7DC433CC">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0.2375%</w:t>
            </w:r>
          </w:p>
        </w:tc>
        <w:tc>
          <w:tcPr>
            <w:tcW w:w="1189" w:type="dxa"/>
            <w:shd w:val="clear" w:color="auto" w:fill="auto"/>
            <w:vAlign w:val="center"/>
          </w:tcPr>
          <w:p w14:paraId="5EF76371">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shd w:val="clear" w:color="auto" w:fill="auto"/>
            <w:vAlign w:val="center"/>
          </w:tcPr>
          <w:p w14:paraId="7B52671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俊尔原小股东</w:t>
            </w:r>
          </w:p>
        </w:tc>
      </w:tr>
      <w:tr w14:paraId="7B23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8" w:type="dxa"/>
            <w:shd w:val="clear" w:color="auto" w:fill="auto"/>
            <w:vAlign w:val="center"/>
          </w:tcPr>
          <w:p w14:paraId="522A55DD">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2162" w:type="dxa"/>
            <w:shd w:val="clear" w:color="auto" w:fill="auto"/>
            <w:noWrap/>
            <w:vAlign w:val="center"/>
          </w:tcPr>
          <w:p w14:paraId="28034534">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深圳市沃尔核材股份有限公司</w:t>
            </w:r>
          </w:p>
        </w:tc>
        <w:tc>
          <w:tcPr>
            <w:tcW w:w="1243" w:type="dxa"/>
            <w:shd w:val="clear" w:color="auto" w:fill="auto"/>
            <w:vAlign w:val="center"/>
          </w:tcPr>
          <w:p w14:paraId="0E5A100C">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98,946</w:t>
            </w:r>
          </w:p>
        </w:tc>
        <w:tc>
          <w:tcPr>
            <w:tcW w:w="1350" w:type="dxa"/>
            <w:shd w:val="clear" w:color="auto" w:fill="auto"/>
            <w:noWrap/>
            <w:vAlign w:val="center"/>
          </w:tcPr>
          <w:p w14:paraId="04B3082E">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98,946</w:t>
            </w:r>
          </w:p>
        </w:tc>
        <w:tc>
          <w:tcPr>
            <w:tcW w:w="1843" w:type="dxa"/>
            <w:shd w:val="clear" w:color="auto" w:fill="auto"/>
            <w:vAlign w:val="center"/>
          </w:tcPr>
          <w:p w14:paraId="0C412872">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0.0105%</w:t>
            </w:r>
          </w:p>
        </w:tc>
        <w:tc>
          <w:tcPr>
            <w:tcW w:w="1189" w:type="dxa"/>
            <w:shd w:val="clear" w:color="auto" w:fill="auto"/>
            <w:vAlign w:val="center"/>
          </w:tcPr>
          <w:p w14:paraId="36578FCE">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shd w:val="clear" w:color="auto" w:fill="auto"/>
            <w:vAlign w:val="center"/>
          </w:tcPr>
          <w:p w14:paraId="558C178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深圳沃尔原小股东</w:t>
            </w:r>
          </w:p>
        </w:tc>
      </w:tr>
      <w:tr w14:paraId="4187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dxa"/>
            <w:shd w:val="clear" w:color="auto" w:fill="auto"/>
            <w:vAlign w:val="center"/>
          </w:tcPr>
          <w:p w14:paraId="2C1D901C">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2162" w:type="dxa"/>
            <w:shd w:val="clear" w:color="auto" w:fill="auto"/>
            <w:vAlign w:val="center"/>
          </w:tcPr>
          <w:p w14:paraId="113E700E">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魏建良</w:t>
            </w:r>
          </w:p>
        </w:tc>
        <w:tc>
          <w:tcPr>
            <w:tcW w:w="1243" w:type="dxa"/>
            <w:shd w:val="clear" w:color="auto" w:fill="auto"/>
            <w:vAlign w:val="center"/>
          </w:tcPr>
          <w:p w14:paraId="53EE3A43">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6,226,378</w:t>
            </w:r>
          </w:p>
        </w:tc>
        <w:tc>
          <w:tcPr>
            <w:tcW w:w="1350" w:type="dxa"/>
            <w:shd w:val="clear" w:color="auto" w:fill="auto"/>
            <w:vAlign w:val="center"/>
          </w:tcPr>
          <w:p w14:paraId="2F93902A">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6,226,378</w:t>
            </w:r>
          </w:p>
        </w:tc>
        <w:tc>
          <w:tcPr>
            <w:tcW w:w="1843" w:type="dxa"/>
            <w:shd w:val="clear" w:color="auto" w:fill="auto"/>
            <w:vAlign w:val="center"/>
          </w:tcPr>
          <w:p w14:paraId="4B689532">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0.6586%</w:t>
            </w:r>
          </w:p>
        </w:tc>
        <w:tc>
          <w:tcPr>
            <w:tcW w:w="1189" w:type="dxa"/>
            <w:shd w:val="clear" w:color="auto" w:fill="auto"/>
            <w:vAlign w:val="center"/>
          </w:tcPr>
          <w:p w14:paraId="30119062">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restart"/>
            <w:shd w:val="clear" w:color="auto" w:fill="auto"/>
            <w:vAlign w:val="center"/>
          </w:tcPr>
          <w:p w14:paraId="34B320F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高新核材原小股东</w:t>
            </w:r>
          </w:p>
        </w:tc>
      </w:tr>
      <w:tr w14:paraId="6F5C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dxa"/>
            <w:shd w:val="clear" w:color="auto" w:fill="auto"/>
            <w:vAlign w:val="center"/>
          </w:tcPr>
          <w:p w14:paraId="6A2F7307">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2162" w:type="dxa"/>
            <w:shd w:val="clear" w:color="auto" w:fill="auto"/>
            <w:vAlign w:val="center"/>
          </w:tcPr>
          <w:p w14:paraId="08DECB5C">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单永东</w:t>
            </w:r>
          </w:p>
        </w:tc>
        <w:tc>
          <w:tcPr>
            <w:tcW w:w="1243" w:type="dxa"/>
            <w:shd w:val="clear" w:color="auto" w:fill="auto"/>
            <w:vAlign w:val="center"/>
          </w:tcPr>
          <w:p w14:paraId="3E8A1262">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3,735,827</w:t>
            </w:r>
          </w:p>
        </w:tc>
        <w:tc>
          <w:tcPr>
            <w:tcW w:w="1350" w:type="dxa"/>
            <w:shd w:val="clear" w:color="auto" w:fill="auto"/>
            <w:vAlign w:val="center"/>
          </w:tcPr>
          <w:p w14:paraId="630E083D">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3,735,827</w:t>
            </w:r>
          </w:p>
        </w:tc>
        <w:tc>
          <w:tcPr>
            <w:tcW w:w="1843" w:type="dxa"/>
            <w:shd w:val="clear" w:color="auto" w:fill="auto"/>
            <w:vAlign w:val="center"/>
          </w:tcPr>
          <w:p w14:paraId="2A4E72C4">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0.3951%</w:t>
            </w:r>
          </w:p>
        </w:tc>
        <w:tc>
          <w:tcPr>
            <w:tcW w:w="1189" w:type="dxa"/>
            <w:shd w:val="clear" w:color="auto" w:fill="auto"/>
            <w:vAlign w:val="center"/>
          </w:tcPr>
          <w:p w14:paraId="6438421D">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continue"/>
            <w:shd w:val="clear" w:color="auto" w:fill="auto"/>
            <w:vAlign w:val="center"/>
          </w:tcPr>
          <w:p w14:paraId="33FEFA51">
            <w:pPr>
              <w:jc w:val="center"/>
              <w:rPr>
                <w:rFonts w:hint="eastAsia" w:ascii="宋体" w:hAnsi="宋体" w:eastAsia="宋体" w:cs="宋体"/>
                <w:b w:val="0"/>
                <w:bCs w:val="0"/>
                <w:i w:val="0"/>
                <w:iCs w:val="0"/>
                <w:color w:val="000000"/>
                <w:sz w:val="21"/>
                <w:szCs w:val="21"/>
                <w:u w:val="none"/>
              </w:rPr>
            </w:pPr>
          </w:p>
        </w:tc>
      </w:tr>
      <w:tr w14:paraId="5D95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dxa"/>
            <w:shd w:val="clear" w:color="auto" w:fill="auto"/>
            <w:vAlign w:val="center"/>
          </w:tcPr>
          <w:p w14:paraId="5EAF2A9F">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2162" w:type="dxa"/>
            <w:shd w:val="clear" w:color="auto" w:fill="auto"/>
            <w:vAlign w:val="center"/>
          </w:tcPr>
          <w:p w14:paraId="1CC04D59">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丁建宏</w:t>
            </w:r>
          </w:p>
        </w:tc>
        <w:tc>
          <w:tcPr>
            <w:tcW w:w="1243" w:type="dxa"/>
            <w:shd w:val="clear" w:color="auto" w:fill="auto"/>
            <w:vAlign w:val="center"/>
          </w:tcPr>
          <w:p w14:paraId="0598CA37">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3,735,827</w:t>
            </w:r>
          </w:p>
        </w:tc>
        <w:tc>
          <w:tcPr>
            <w:tcW w:w="1350" w:type="dxa"/>
            <w:shd w:val="clear" w:color="auto" w:fill="auto"/>
            <w:vAlign w:val="center"/>
          </w:tcPr>
          <w:p w14:paraId="4FC1F8DA">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3,735,827</w:t>
            </w:r>
          </w:p>
        </w:tc>
        <w:tc>
          <w:tcPr>
            <w:tcW w:w="1843" w:type="dxa"/>
            <w:shd w:val="clear" w:color="auto" w:fill="auto"/>
            <w:vAlign w:val="center"/>
          </w:tcPr>
          <w:p w14:paraId="733B71CD">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0.3951%</w:t>
            </w:r>
          </w:p>
        </w:tc>
        <w:tc>
          <w:tcPr>
            <w:tcW w:w="1189" w:type="dxa"/>
            <w:shd w:val="clear" w:color="auto" w:fill="auto"/>
            <w:vAlign w:val="center"/>
          </w:tcPr>
          <w:p w14:paraId="17C9DE7F">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continue"/>
            <w:shd w:val="clear" w:color="auto" w:fill="auto"/>
            <w:vAlign w:val="center"/>
          </w:tcPr>
          <w:p w14:paraId="131359F3">
            <w:pPr>
              <w:jc w:val="center"/>
              <w:rPr>
                <w:rFonts w:hint="eastAsia" w:ascii="宋体" w:hAnsi="宋体" w:eastAsia="宋体" w:cs="宋体"/>
                <w:b w:val="0"/>
                <w:bCs w:val="0"/>
                <w:i w:val="0"/>
                <w:iCs w:val="0"/>
                <w:color w:val="000000"/>
                <w:sz w:val="21"/>
                <w:szCs w:val="21"/>
                <w:u w:val="none"/>
              </w:rPr>
            </w:pPr>
          </w:p>
        </w:tc>
      </w:tr>
      <w:tr w14:paraId="6260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dxa"/>
            <w:shd w:val="clear" w:color="auto" w:fill="auto"/>
            <w:vAlign w:val="center"/>
          </w:tcPr>
          <w:p w14:paraId="44431A09">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2162" w:type="dxa"/>
            <w:shd w:val="clear" w:color="auto" w:fill="auto"/>
            <w:vAlign w:val="center"/>
          </w:tcPr>
          <w:p w14:paraId="7D1B50C4">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苏州德尔福商贸有限公司</w:t>
            </w:r>
          </w:p>
        </w:tc>
        <w:tc>
          <w:tcPr>
            <w:tcW w:w="1243" w:type="dxa"/>
            <w:shd w:val="clear" w:color="auto" w:fill="auto"/>
            <w:vAlign w:val="center"/>
          </w:tcPr>
          <w:p w14:paraId="1FBFE3E1">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3,113,189</w:t>
            </w:r>
          </w:p>
        </w:tc>
        <w:tc>
          <w:tcPr>
            <w:tcW w:w="1350" w:type="dxa"/>
            <w:shd w:val="clear" w:color="auto" w:fill="auto"/>
            <w:vAlign w:val="center"/>
          </w:tcPr>
          <w:p w14:paraId="501B0F84">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3,113,189</w:t>
            </w:r>
          </w:p>
        </w:tc>
        <w:tc>
          <w:tcPr>
            <w:tcW w:w="1843" w:type="dxa"/>
            <w:shd w:val="clear" w:color="auto" w:fill="auto"/>
            <w:vAlign w:val="center"/>
          </w:tcPr>
          <w:p w14:paraId="3ADE5D3D">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0.3293%</w:t>
            </w:r>
          </w:p>
        </w:tc>
        <w:tc>
          <w:tcPr>
            <w:tcW w:w="1189" w:type="dxa"/>
            <w:shd w:val="clear" w:color="auto" w:fill="auto"/>
            <w:vAlign w:val="center"/>
          </w:tcPr>
          <w:p w14:paraId="3692BBD6">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eastAsia" w:cs="Times New Roman"/>
                <w:b w:val="0"/>
                <w:bCs w:val="0"/>
                <w:i w:val="0"/>
                <w:iCs w:val="0"/>
                <w:color w:val="000000"/>
                <w:kern w:val="0"/>
                <w:sz w:val="21"/>
                <w:szCs w:val="21"/>
                <w:highlight w:val="none"/>
                <w:u w:val="none"/>
                <w:lang w:val="en-US" w:eastAsia="zh-CN" w:bidi="ar"/>
              </w:rPr>
              <w:t>质押2,300,000股</w:t>
            </w:r>
          </w:p>
        </w:tc>
        <w:tc>
          <w:tcPr>
            <w:tcW w:w="1061" w:type="dxa"/>
            <w:vMerge w:val="continue"/>
            <w:shd w:val="clear" w:color="auto" w:fill="auto"/>
            <w:vAlign w:val="center"/>
          </w:tcPr>
          <w:p w14:paraId="4A7CE436">
            <w:pPr>
              <w:jc w:val="center"/>
              <w:rPr>
                <w:rFonts w:hint="eastAsia" w:ascii="宋体" w:hAnsi="宋体" w:eastAsia="宋体" w:cs="宋体"/>
                <w:b w:val="0"/>
                <w:bCs w:val="0"/>
                <w:i w:val="0"/>
                <w:iCs w:val="0"/>
                <w:color w:val="000000"/>
                <w:sz w:val="21"/>
                <w:szCs w:val="21"/>
                <w:u w:val="none"/>
              </w:rPr>
            </w:pPr>
          </w:p>
        </w:tc>
      </w:tr>
      <w:tr w14:paraId="18D6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dxa"/>
            <w:shd w:val="clear" w:color="auto" w:fill="auto"/>
            <w:vAlign w:val="center"/>
          </w:tcPr>
          <w:p w14:paraId="49E6A94B">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2162" w:type="dxa"/>
            <w:shd w:val="clear" w:color="auto" w:fill="auto"/>
            <w:vAlign w:val="center"/>
          </w:tcPr>
          <w:p w14:paraId="07A358CA">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魏兰</w:t>
            </w:r>
          </w:p>
        </w:tc>
        <w:tc>
          <w:tcPr>
            <w:tcW w:w="1243" w:type="dxa"/>
            <w:shd w:val="clear" w:color="auto" w:fill="auto"/>
            <w:vAlign w:val="center"/>
          </w:tcPr>
          <w:p w14:paraId="4FC4D0BE">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2,490,551</w:t>
            </w:r>
          </w:p>
        </w:tc>
        <w:tc>
          <w:tcPr>
            <w:tcW w:w="1350" w:type="dxa"/>
            <w:shd w:val="clear" w:color="auto" w:fill="auto"/>
            <w:vAlign w:val="center"/>
          </w:tcPr>
          <w:p w14:paraId="0F8A3BED">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2,490,551</w:t>
            </w:r>
          </w:p>
        </w:tc>
        <w:tc>
          <w:tcPr>
            <w:tcW w:w="1843" w:type="dxa"/>
            <w:shd w:val="clear" w:color="auto" w:fill="auto"/>
            <w:vAlign w:val="center"/>
          </w:tcPr>
          <w:p w14:paraId="53FF1F6F">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0.2634%</w:t>
            </w:r>
          </w:p>
        </w:tc>
        <w:tc>
          <w:tcPr>
            <w:tcW w:w="1189" w:type="dxa"/>
            <w:shd w:val="clear" w:color="auto" w:fill="auto"/>
            <w:vAlign w:val="center"/>
          </w:tcPr>
          <w:p w14:paraId="5DE0459F">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continue"/>
            <w:shd w:val="clear" w:color="auto" w:fill="auto"/>
            <w:vAlign w:val="center"/>
          </w:tcPr>
          <w:p w14:paraId="30D3C9FB">
            <w:pPr>
              <w:jc w:val="center"/>
              <w:rPr>
                <w:rFonts w:hint="eastAsia" w:ascii="宋体" w:hAnsi="宋体" w:eastAsia="宋体" w:cs="宋体"/>
                <w:b w:val="0"/>
                <w:bCs w:val="0"/>
                <w:i w:val="0"/>
                <w:iCs w:val="0"/>
                <w:color w:val="000000"/>
                <w:sz w:val="21"/>
                <w:szCs w:val="21"/>
                <w:u w:val="none"/>
              </w:rPr>
            </w:pPr>
          </w:p>
        </w:tc>
      </w:tr>
      <w:tr w14:paraId="5CAF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8" w:type="dxa"/>
            <w:shd w:val="clear" w:color="auto" w:fill="auto"/>
            <w:vAlign w:val="center"/>
          </w:tcPr>
          <w:p w14:paraId="62F060EB">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8</w:t>
            </w:r>
          </w:p>
        </w:tc>
        <w:tc>
          <w:tcPr>
            <w:tcW w:w="2162" w:type="dxa"/>
            <w:shd w:val="clear" w:color="auto" w:fill="auto"/>
            <w:vAlign w:val="center"/>
          </w:tcPr>
          <w:p w14:paraId="3190F1C1">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林海光</w:t>
            </w:r>
          </w:p>
        </w:tc>
        <w:tc>
          <w:tcPr>
            <w:tcW w:w="1243" w:type="dxa"/>
            <w:shd w:val="clear" w:color="auto" w:fill="auto"/>
            <w:vAlign w:val="center"/>
          </w:tcPr>
          <w:p w14:paraId="1B1BD19C">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1,867,913</w:t>
            </w:r>
          </w:p>
        </w:tc>
        <w:tc>
          <w:tcPr>
            <w:tcW w:w="1350" w:type="dxa"/>
            <w:shd w:val="clear" w:color="auto" w:fill="auto"/>
            <w:vAlign w:val="center"/>
          </w:tcPr>
          <w:p w14:paraId="64E24A0C">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1,867,913</w:t>
            </w:r>
          </w:p>
        </w:tc>
        <w:tc>
          <w:tcPr>
            <w:tcW w:w="1843" w:type="dxa"/>
            <w:shd w:val="clear" w:color="auto" w:fill="auto"/>
            <w:vAlign w:val="center"/>
          </w:tcPr>
          <w:p w14:paraId="634CCE03">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0.1976%</w:t>
            </w:r>
          </w:p>
        </w:tc>
        <w:tc>
          <w:tcPr>
            <w:tcW w:w="1189" w:type="dxa"/>
            <w:shd w:val="clear" w:color="auto" w:fill="auto"/>
            <w:vAlign w:val="center"/>
          </w:tcPr>
          <w:p w14:paraId="42D519E8">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eastAsia" w:cs="Times New Roman"/>
                <w:b w:val="0"/>
                <w:bCs w:val="0"/>
                <w:i w:val="0"/>
                <w:iCs w:val="0"/>
                <w:color w:val="000000"/>
                <w:kern w:val="0"/>
                <w:sz w:val="21"/>
                <w:szCs w:val="21"/>
                <w:highlight w:val="none"/>
                <w:u w:val="none"/>
                <w:lang w:val="en-US" w:eastAsia="zh-CN" w:bidi="ar"/>
              </w:rPr>
              <w:t>质押1,867,913股</w:t>
            </w:r>
          </w:p>
        </w:tc>
        <w:tc>
          <w:tcPr>
            <w:tcW w:w="1061" w:type="dxa"/>
            <w:vMerge w:val="continue"/>
            <w:shd w:val="clear" w:color="auto" w:fill="auto"/>
            <w:vAlign w:val="center"/>
          </w:tcPr>
          <w:p w14:paraId="73B60A7C">
            <w:pPr>
              <w:jc w:val="center"/>
              <w:rPr>
                <w:rFonts w:hint="eastAsia" w:ascii="宋体" w:hAnsi="宋体" w:eastAsia="宋体" w:cs="宋体"/>
                <w:b w:val="0"/>
                <w:bCs w:val="0"/>
                <w:i w:val="0"/>
                <w:iCs w:val="0"/>
                <w:color w:val="000000"/>
                <w:sz w:val="21"/>
                <w:szCs w:val="21"/>
                <w:u w:val="none"/>
              </w:rPr>
            </w:pPr>
          </w:p>
        </w:tc>
      </w:tr>
      <w:tr w14:paraId="2AEB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8" w:type="dxa"/>
            <w:shd w:val="clear" w:color="auto" w:fill="auto"/>
            <w:vAlign w:val="center"/>
          </w:tcPr>
          <w:p w14:paraId="5183D084">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9</w:t>
            </w:r>
          </w:p>
        </w:tc>
        <w:tc>
          <w:tcPr>
            <w:tcW w:w="2162" w:type="dxa"/>
            <w:shd w:val="clear" w:color="auto" w:fill="auto"/>
            <w:vAlign w:val="center"/>
          </w:tcPr>
          <w:p w14:paraId="73F735CE">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吴凤亚</w:t>
            </w:r>
          </w:p>
        </w:tc>
        <w:tc>
          <w:tcPr>
            <w:tcW w:w="1243" w:type="dxa"/>
            <w:shd w:val="clear" w:color="auto" w:fill="auto"/>
            <w:vAlign w:val="center"/>
          </w:tcPr>
          <w:p w14:paraId="580DAE50">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1,867,913</w:t>
            </w:r>
          </w:p>
        </w:tc>
        <w:tc>
          <w:tcPr>
            <w:tcW w:w="1350" w:type="dxa"/>
            <w:shd w:val="clear" w:color="auto" w:fill="auto"/>
            <w:vAlign w:val="center"/>
          </w:tcPr>
          <w:p w14:paraId="56972B5C">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1,867,913</w:t>
            </w:r>
          </w:p>
        </w:tc>
        <w:tc>
          <w:tcPr>
            <w:tcW w:w="1843" w:type="dxa"/>
            <w:shd w:val="clear" w:color="auto" w:fill="auto"/>
            <w:vAlign w:val="center"/>
          </w:tcPr>
          <w:p w14:paraId="79284BA5">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0.1976%</w:t>
            </w:r>
          </w:p>
        </w:tc>
        <w:tc>
          <w:tcPr>
            <w:tcW w:w="1189" w:type="dxa"/>
            <w:shd w:val="clear" w:color="auto" w:fill="auto"/>
            <w:vAlign w:val="center"/>
          </w:tcPr>
          <w:p w14:paraId="2F245557">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continue"/>
            <w:shd w:val="clear" w:color="auto" w:fill="auto"/>
            <w:vAlign w:val="center"/>
          </w:tcPr>
          <w:p w14:paraId="1A18BE0C">
            <w:pPr>
              <w:jc w:val="center"/>
              <w:rPr>
                <w:rFonts w:hint="eastAsia" w:ascii="宋体" w:hAnsi="宋体" w:eastAsia="宋体" w:cs="宋体"/>
                <w:b w:val="0"/>
                <w:bCs w:val="0"/>
                <w:i w:val="0"/>
                <w:iCs w:val="0"/>
                <w:color w:val="000000"/>
                <w:sz w:val="21"/>
                <w:szCs w:val="21"/>
                <w:u w:val="none"/>
              </w:rPr>
            </w:pPr>
          </w:p>
        </w:tc>
      </w:tr>
      <w:tr w14:paraId="1077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dxa"/>
            <w:shd w:val="clear" w:color="auto" w:fill="auto"/>
            <w:vAlign w:val="center"/>
          </w:tcPr>
          <w:p w14:paraId="35055552">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10</w:t>
            </w:r>
          </w:p>
        </w:tc>
        <w:tc>
          <w:tcPr>
            <w:tcW w:w="2162" w:type="dxa"/>
            <w:shd w:val="clear" w:color="auto" w:fill="auto"/>
            <w:vAlign w:val="center"/>
          </w:tcPr>
          <w:p w14:paraId="50927408">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张定乐</w:t>
            </w:r>
          </w:p>
        </w:tc>
        <w:tc>
          <w:tcPr>
            <w:tcW w:w="1243" w:type="dxa"/>
            <w:shd w:val="clear" w:color="auto" w:fill="auto"/>
            <w:vAlign w:val="center"/>
          </w:tcPr>
          <w:p w14:paraId="2D797D46">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1,867,913</w:t>
            </w:r>
          </w:p>
        </w:tc>
        <w:tc>
          <w:tcPr>
            <w:tcW w:w="1350" w:type="dxa"/>
            <w:shd w:val="clear" w:color="auto" w:fill="auto"/>
            <w:vAlign w:val="center"/>
          </w:tcPr>
          <w:p w14:paraId="47DC950F">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1,867,913</w:t>
            </w:r>
          </w:p>
        </w:tc>
        <w:tc>
          <w:tcPr>
            <w:tcW w:w="1843" w:type="dxa"/>
            <w:shd w:val="clear" w:color="auto" w:fill="auto"/>
            <w:vAlign w:val="center"/>
          </w:tcPr>
          <w:p w14:paraId="2E2FF956">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0.1976%</w:t>
            </w:r>
          </w:p>
        </w:tc>
        <w:tc>
          <w:tcPr>
            <w:tcW w:w="1189" w:type="dxa"/>
            <w:shd w:val="clear" w:color="auto" w:fill="auto"/>
            <w:vAlign w:val="center"/>
          </w:tcPr>
          <w:p w14:paraId="3B25CFD0">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continue"/>
            <w:shd w:val="clear" w:color="auto" w:fill="auto"/>
            <w:vAlign w:val="center"/>
          </w:tcPr>
          <w:p w14:paraId="6A60E066">
            <w:pPr>
              <w:jc w:val="center"/>
              <w:rPr>
                <w:rFonts w:hint="eastAsia" w:ascii="宋体" w:hAnsi="宋体" w:eastAsia="宋体" w:cs="宋体"/>
                <w:b w:val="0"/>
                <w:bCs w:val="0"/>
                <w:i w:val="0"/>
                <w:iCs w:val="0"/>
                <w:color w:val="000000"/>
                <w:sz w:val="21"/>
                <w:szCs w:val="21"/>
                <w:u w:val="none"/>
              </w:rPr>
            </w:pPr>
          </w:p>
        </w:tc>
      </w:tr>
      <w:tr w14:paraId="619C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dxa"/>
            <w:shd w:val="clear" w:color="auto" w:fill="auto"/>
            <w:vAlign w:val="center"/>
          </w:tcPr>
          <w:p w14:paraId="78168CF1">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11</w:t>
            </w:r>
          </w:p>
        </w:tc>
        <w:tc>
          <w:tcPr>
            <w:tcW w:w="2162" w:type="dxa"/>
            <w:shd w:val="clear" w:color="auto" w:fill="auto"/>
            <w:vAlign w:val="center"/>
          </w:tcPr>
          <w:p w14:paraId="41CB4661">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刘恒</w:t>
            </w:r>
          </w:p>
        </w:tc>
        <w:tc>
          <w:tcPr>
            <w:tcW w:w="1243" w:type="dxa"/>
            <w:shd w:val="clear" w:color="auto" w:fill="auto"/>
            <w:vAlign w:val="center"/>
          </w:tcPr>
          <w:p w14:paraId="3226CF2A">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1,245,275</w:t>
            </w:r>
          </w:p>
        </w:tc>
        <w:tc>
          <w:tcPr>
            <w:tcW w:w="1350" w:type="dxa"/>
            <w:shd w:val="clear" w:color="auto" w:fill="auto"/>
            <w:vAlign w:val="center"/>
          </w:tcPr>
          <w:p w14:paraId="027123A4">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1,245,275</w:t>
            </w:r>
          </w:p>
        </w:tc>
        <w:tc>
          <w:tcPr>
            <w:tcW w:w="1843" w:type="dxa"/>
            <w:shd w:val="clear" w:color="auto" w:fill="auto"/>
            <w:vAlign w:val="center"/>
          </w:tcPr>
          <w:p w14:paraId="4A13F85B">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0.1317%</w:t>
            </w:r>
          </w:p>
        </w:tc>
        <w:tc>
          <w:tcPr>
            <w:tcW w:w="1189" w:type="dxa"/>
            <w:shd w:val="clear" w:color="auto" w:fill="auto"/>
            <w:vAlign w:val="center"/>
          </w:tcPr>
          <w:p w14:paraId="13577576">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continue"/>
            <w:shd w:val="clear" w:color="auto" w:fill="auto"/>
            <w:vAlign w:val="center"/>
          </w:tcPr>
          <w:p w14:paraId="7BE842DA">
            <w:pPr>
              <w:jc w:val="center"/>
              <w:rPr>
                <w:rFonts w:hint="eastAsia" w:ascii="宋体" w:hAnsi="宋体" w:eastAsia="宋体" w:cs="宋体"/>
                <w:b w:val="0"/>
                <w:bCs w:val="0"/>
                <w:i w:val="0"/>
                <w:iCs w:val="0"/>
                <w:color w:val="000000"/>
                <w:sz w:val="21"/>
                <w:szCs w:val="21"/>
                <w:u w:val="none"/>
              </w:rPr>
            </w:pPr>
          </w:p>
        </w:tc>
      </w:tr>
      <w:tr w14:paraId="7F1E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8" w:type="dxa"/>
            <w:shd w:val="clear" w:color="auto" w:fill="auto"/>
            <w:vAlign w:val="center"/>
          </w:tcPr>
          <w:p w14:paraId="4F2C9AF5">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12</w:t>
            </w:r>
          </w:p>
        </w:tc>
        <w:tc>
          <w:tcPr>
            <w:tcW w:w="2162" w:type="dxa"/>
            <w:shd w:val="clear" w:color="auto" w:fill="auto"/>
            <w:vAlign w:val="center"/>
          </w:tcPr>
          <w:p w14:paraId="28BFC331">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苏忠兴</w:t>
            </w:r>
          </w:p>
        </w:tc>
        <w:tc>
          <w:tcPr>
            <w:tcW w:w="1243" w:type="dxa"/>
            <w:shd w:val="clear" w:color="auto" w:fill="auto"/>
            <w:vAlign w:val="center"/>
          </w:tcPr>
          <w:p w14:paraId="5ECBC0AE">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622,637</w:t>
            </w:r>
          </w:p>
        </w:tc>
        <w:tc>
          <w:tcPr>
            <w:tcW w:w="1350" w:type="dxa"/>
            <w:shd w:val="clear" w:color="auto" w:fill="auto"/>
            <w:vAlign w:val="center"/>
          </w:tcPr>
          <w:p w14:paraId="42AF62C7">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622,637</w:t>
            </w:r>
          </w:p>
        </w:tc>
        <w:tc>
          <w:tcPr>
            <w:tcW w:w="1843" w:type="dxa"/>
            <w:shd w:val="clear" w:color="auto" w:fill="auto"/>
            <w:vAlign w:val="center"/>
          </w:tcPr>
          <w:p w14:paraId="37FC7D07">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0.0659%</w:t>
            </w:r>
          </w:p>
        </w:tc>
        <w:tc>
          <w:tcPr>
            <w:tcW w:w="1189" w:type="dxa"/>
            <w:shd w:val="clear" w:color="auto" w:fill="auto"/>
            <w:vAlign w:val="center"/>
          </w:tcPr>
          <w:p w14:paraId="3844B256">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continue"/>
            <w:shd w:val="clear" w:color="auto" w:fill="auto"/>
            <w:vAlign w:val="center"/>
          </w:tcPr>
          <w:p w14:paraId="3C6DD090">
            <w:pPr>
              <w:jc w:val="center"/>
              <w:rPr>
                <w:rFonts w:hint="eastAsia" w:ascii="宋体" w:hAnsi="宋体" w:eastAsia="宋体" w:cs="宋体"/>
                <w:b w:val="0"/>
                <w:bCs w:val="0"/>
                <w:i w:val="0"/>
                <w:iCs w:val="0"/>
                <w:color w:val="000000"/>
                <w:sz w:val="21"/>
                <w:szCs w:val="21"/>
                <w:u w:val="none"/>
              </w:rPr>
            </w:pPr>
          </w:p>
        </w:tc>
      </w:tr>
      <w:tr w14:paraId="36CC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8" w:type="dxa"/>
            <w:shd w:val="clear" w:color="auto" w:fill="auto"/>
            <w:vAlign w:val="center"/>
          </w:tcPr>
          <w:p w14:paraId="0F248F89">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13</w:t>
            </w:r>
          </w:p>
        </w:tc>
        <w:tc>
          <w:tcPr>
            <w:tcW w:w="2162" w:type="dxa"/>
            <w:shd w:val="clear" w:color="auto" w:fill="auto"/>
            <w:vAlign w:val="center"/>
          </w:tcPr>
          <w:p w14:paraId="29B76CFE">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陆惠岐</w:t>
            </w:r>
          </w:p>
        </w:tc>
        <w:tc>
          <w:tcPr>
            <w:tcW w:w="1243" w:type="dxa"/>
            <w:shd w:val="clear" w:color="auto" w:fill="auto"/>
            <w:vAlign w:val="center"/>
          </w:tcPr>
          <w:p w14:paraId="4BDBAECC">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622,637</w:t>
            </w:r>
          </w:p>
        </w:tc>
        <w:tc>
          <w:tcPr>
            <w:tcW w:w="1350" w:type="dxa"/>
            <w:shd w:val="clear" w:color="auto" w:fill="auto"/>
            <w:vAlign w:val="center"/>
          </w:tcPr>
          <w:p w14:paraId="647E3629">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622,637</w:t>
            </w:r>
          </w:p>
        </w:tc>
        <w:tc>
          <w:tcPr>
            <w:tcW w:w="1843" w:type="dxa"/>
            <w:shd w:val="clear" w:color="auto" w:fill="auto"/>
            <w:vAlign w:val="center"/>
          </w:tcPr>
          <w:p w14:paraId="1927095D">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0.0659%</w:t>
            </w:r>
          </w:p>
        </w:tc>
        <w:tc>
          <w:tcPr>
            <w:tcW w:w="1189" w:type="dxa"/>
            <w:shd w:val="clear" w:color="auto" w:fill="auto"/>
            <w:vAlign w:val="center"/>
          </w:tcPr>
          <w:p w14:paraId="5BAE0EF1">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continue"/>
            <w:shd w:val="clear" w:color="auto" w:fill="auto"/>
            <w:vAlign w:val="center"/>
          </w:tcPr>
          <w:p w14:paraId="79EC5B6E">
            <w:pPr>
              <w:jc w:val="center"/>
              <w:rPr>
                <w:rFonts w:hint="eastAsia" w:ascii="宋体" w:hAnsi="宋体" w:eastAsia="宋体" w:cs="宋体"/>
                <w:b w:val="0"/>
                <w:bCs w:val="0"/>
                <w:i w:val="0"/>
                <w:iCs w:val="0"/>
                <w:color w:val="000000"/>
                <w:sz w:val="21"/>
                <w:szCs w:val="21"/>
                <w:u w:val="none"/>
              </w:rPr>
            </w:pPr>
          </w:p>
        </w:tc>
      </w:tr>
      <w:tr w14:paraId="75CE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dxa"/>
            <w:shd w:val="clear" w:color="auto" w:fill="auto"/>
            <w:vAlign w:val="center"/>
          </w:tcPr>
          <w:p w14:paraId="007B70D8">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w:t>
            </w:r>
          </w:p>
        </w:tc>
        <w:tc>
          <w:tcPr>
            <w:tcW w:w="2162" w:type="dxa"/>
            <w:shd w:val="clear" w:color="auto" w:fill="auto"/>
            <w:vAlign w:val="center"/>
          </w:tcPr>
          <w:p w14:paraId="0C383F3C">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王珏</w:t>
            </w:r>
          </w:p>
        </w:tc>
        <w:tc>
          <w:tcPr>
            <w:tcW w:w="1243" w:type="dxa"/>
            <w:shd w:val="clear" w:color="auto" w:fill="auto"/>
            <w:vAlign w:val="center"/>
          </w:tcPr>
          <w:p w14:paraId="670A8590">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622,637</w:t>
            </w:r>
          </w:p>
        </w:tc>
        <w:tc>
          <w:tcPr>
            <w:tcW w:w="1350" w:type="dxa"/>
            <w:shd w:val="clear" w:color="auto" w:fill="auto"/>
            <w:vAlign w:val="center"/>
          </w:tcPr>
          <w:p w14:paraId="69076601">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622,637</w:t>
            </w:r>
          </w:p>
        </w:tc>
        <w:tc>
          <w:tcPr>
            <w:tcW w:w="1843" w:type="dxa"/>
            <w:shd w:val="clear" w:color="auto" w:fill="auto"/>
            <w:vAlign w:val="center"/>
          </w:tcPr>
          <w:p w14:paraId="59F91646">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0.0659%</w:t>
            </w:r>
          </w:p>
        </w:tc>
        <w:tc>
          <w:tcPr>
            <w:tcW w:w="1189" w:type="dxa"/>
            <w:shd w:val="clear" w:color="auto" w:fill="auto"/>
            <w:vAlign w:val="center"/>
          </w:tcPr>
          <w:p w14:paraId="43237D54">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continue"/>
            <w:shd w:val="clear" w:color="auto" w:fill="auto"/>
            <w:vAlign w:val="center"/>
          </w:tcPr>
          <w:p w14:paraId="156477E5">
            <w:pPr>
              <w:jc w:val="center"/>
              <w:rPr>
                <w:rFonts w:hint="eastAsia" w:ascii="宋体" w:hAnsi="宋体" w:eastAsia="宋体" w:cs="宋体"/>
                <w:b w:val="0"/>
                <w:bCs w:val="0"/>
                <w:i w:val="0"/>
                <w:iCs w:val="0"/>
                <w:color w:val="000000"/>
                <w:sz w:val="21"/>
                <w:szCs w:val="21"/>
                <w:u w:val="none"/>
              </w:rPr>
            </w:pPr>
          </w:p>
        </w:tc>
      </w:tr>
      <w:tr w14:paraId="2A31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dxa"/>
            <w:shd w:val="clear" w:color="auto" w:fill="auto"/>
            <w:vAlign w:val="center"/>
          </w:tcPr>
          <w:p w14:paraId="78C57855">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15</w:t>
            </w:r>
          </w:p>
        </w:tc>
        <w:tc>
          <w:tcPr>
            <w:tcW w:w="2162" w:type="dxa"/>
            <w:shd w:val="clear" w:color="auto" w:fill="auto"/>
            <w:noWrap/>
            <w:vAlign w:val="center"/>
          </w:tcPr>
          <w:p w14:paraId="3E82A11A">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江苏达胜热缩材料有限公司</w:t>
            </w:r>
          </w:p>
        </w:tc>
        <w:tc>
          <w:tcPr>
            <w:tcW w:w="1243" w:type="dxa"/>
            <w:shd w:val="clear" w:color="auto" w:fill="auto"/>
            <w:vAlign w:val="center"/>
          </w:tcPr>
          <w:p w14:paraId="3F248EA9">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8,795,375</w:t>
            </w:r>
          </w:p>
        </w:tc>
        <w:tc>
          <w:tcPr>
            <w:tcW w:w="1350" w:type="dxa"/>
            <w:shd w:val="clear" w:color="auto" w:fill="auto"/>
            <w:vAlign w:val="center"/>
          </w:tcPr>
          <w:p w14:paraId="384B8E57">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8,795,375</w:t>
            </w:r>
          </w:p>
        </w:tc>
        <w:tc>
          <w:tcPr>
            <w:tcW w:w="1843" w:type="dxa"/>
            <w:shd w:val="clear" w:color="auto" w:fill="auto"/>
            <w:vAlign w:val="center"/>
          </w:tcPr>
          <w:p w14:paraId="11E3CF06">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0.9303%</w:t>
            </w:r>
          </w:p>
        </w:tc>
        <w:tc>
          <w:tcPr>
            <w:tcW w:w="1189" w:type="dxa"/>
            <w:shd w:val="clear" w:color="auto" w:fill="auto"/>
            <w:vAlign w:val="center"/>
          </w:tcPr>
          <w:p w14:paraId="2F4791FE">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restart"/>
            <w:shd w:val="clear" w:color="auto" w:fill="auto"/>
            <w:vAlign w:val="center"/>
          </w:tcPr>
          <w:p w14:paraId="01C5C0B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达胜原小股东</w:t>
            </w:r>
          </w:p>
        </w:tc>
      </w:tr>
      <w:tr w14:paraId="774B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dxa"/>
            <w:shd w:val="clear" w:color="auto" w:fill="auto"/>
            <w:vAlign w:val="center"/>
          </w:tcPr>
          <w:p w14:paraId="3ABF21EA">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16</w:t>
            </w:r>
          </w:p>
        </w:tc>
        <w:tc>
          <w:tcPr>
            <w:tcW w:w="2162" w:type="dxa"/>
            <w:shd w:val="clear" w:color="auto" w:fill="auto"/>
            <w:noWrap/>
            <w:vAlign w:val="center"/>
          </w:tcPr>
          <w:p w14:paraId="61F7ED6D">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俞江</w:t>
            </w:r>
          </w:p>
        </w:tc>
        <w:tc>
          <w:tcPr>
            <w:tcW w:w="1243" w:type="dxa"/>
            <w:shd w:val="clear" w:color="auto" w:fill="auto"/>
            <w:vAlign w:val="center"/>
          </w:tcPr>
          <w:p w14:paraId="0ACA6164">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952,290</w:t>
            </w:r>
          </w:p>
        </w:tc>
        <w:tc>
          <w:tcPr>
            <w:tcW w:w="1350" w:type="dxa"/>
            <w:shd w:val="clear" w:color="auto" w:fill="auto"/>
            <w:vAlign w:val="center"/>
          </w:tcPr>
          <w:p w14:paraId="19A0D88A">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952,290</w:t>
            </w:r>
          </w:p>
        </w:tc>
        <w:tc>
          <w:tcPr>
            <w:tcW w:w="1843" w:type="dxa"/>
            <w:shd w:val="clear" w:color="auto" w:fill="auto"/>
            <w:vAlign w:val="center"/>
          </w:tcPr>
          <w:p w14:paraId="4C09ED87">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0.1007%</w:t>
            </w:r>
          </w:p>
        </w:tc>
        <w:tc>
          <w:tcPr>
            <w:tcW w:w="1189" w:type="dxa"/>
            <w:shd w:val="clear" w:color="auto" w:fill="auto"/>
            <w:vAlign w:val="center"/>
          </w:tcPr>
          <w:p w14:paraId="5A8687D6">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continue"/>
            <w:shd w:val="clear" w:color="auto" w:fill="auto"/>
            <w:vAlign w:val="center"/>
          </w:tcPr>
          <w:p w14:paraId="0F228990">
            <w:pPr>
              <w:jc w:val="left"/>
              <w:rPr>
                <w:rFonts w:hint="eastAsia" w:ascii="宋体" w:hAnsi="宋体" w:eastAsia="宋体" w:cs="宋体"/>
                <w:b w:val="0"/>
                <w:bCs w:val="0"/>
                <w:i w:val="0"/>
                <w:iCs w:val="0"/>
                <w:color w:val="000000"/>
                <w:sz w:val="21"/>
                <w:szCs w:val="21"/>
                <w:u w:val="none"/>
              </w:rPr>
            </w:pPr>
          </w:p>
        </w:tc>
      </w:tr>
      <w:tr w14:paraId="1B4F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dxa"/>
            <w:shd w:val="clear" w:color="auto" w:fill="auto"/>
            <w:vAlign w:val="center"/>
          </w:tcPr>
          <w:p w14:paraId="4B09C217">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17</w:t>
            </w:r>
          </w:p>
        </w:tc>
        <w:tc>
          <w:tcPr>
            <w:tcW w:w="2162" w:type="dxa"/>
            <w:shd w:val="clear" w:color="auto" w:fill="auto"/>
            <w:noWrap/>
            <w:vAlign w:val="center"/>
          </w:tcPr>
          <w:p w14:paraId="58E5976E">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叶启捷</w:t>
            </w:r>
          </w:p>
        </w:tc>
        <w:tc>
          <w:tcPr>
            <w:tcW w:w="1243" w:type="dxa"/>
            <w:shd w:val="clear" w:color="auto" w:fill="auto"/>
            <w:vAlign w:val="center"/>
          </w:tcPr>
          <w:p w14:paraId="5192C2FD">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476,144</w:t>
            </w:r>
          </w:p>
        </w:tc>
        <w:tc>
          <w:tcPr>
            <w:tcW w:w="1350" w:type="dxa"/>
            <w:shd w:val="clear" w:color="auto" w:fill="auto"/>
            <w:vAlign w:val="center"/>
          </w:tcPr>
          <w:p w14:paraId="010C9519">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476,144</w:t>
            </w:r>
          </w:p>
        </w:tc>
        <w:tc>
          <w:tcPr>
            <w:tcW w:w="1843" w:type="dxa"/>
            <w:shd w:val="clear" w:color="auto" w:fill="auto"/>
            <w:vAlign w:val="center"/>
          </w:tcPr>
          <w:p w14:paraId="0DF50329">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0.0504%</w:t>
            </w:r>
          </w:p>
        </w:tc>
        <w:tc>
          <w:tcPr>
            <w:tcW w:w="1189" w:type="dxa"/>
            <w:shd w:val="clear" w:color="auto" w:fill="auto"/>
            <w:vAlign w:val="center"/>
          </w:tcPr>
          <w:p w14:paraId="0E4BA003">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continue"/>
            <w:shd w:val="clear" w:color="auto" w:fill="auto"/>
            <w:vAlign w:val="center"/>
          </w:tcPr>
          <w:p w14:paraId="10BC2F0D">
            <w:pPr>
              <w:jc w:val="left"/>
              <w:rPr>
                <w:rFonts w:hint="eastAsia" w:ascii="宋体" w:hAnsi="宋体" w:eastAsia="宋体" w:cs="宋体"/>
                <w:b w:val="0"/>
                <w:bCs w:val="0"/>
                <w:i w:val="0"/>
                <w:iCs w:val="0"/>
                <w:color w:val="000000"/>
                <w:sz w:val="21"/>
                <w:szCs w:val="21"/>
                <w:u w:val="none"/>
              </w:rPr>
            </w:pPr>
          </w:p>
        </w:tc>
      </w:tr>
      <w:tr w14:paraId="7E02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8" w:type="dxa"/>
            <w:shd w:val="clear" w:color="auto" w:fill="auto"/>
            <w:vAlign w:val="center"/>
          </w:tcPr>
          <w:p w14:paraId="26F4DA79">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18</w:t>
            </w:r>
          </w:p>
        </w:tc>
        <w:tc>
          <w:tcPr>
            <w:tcW w:w="2162" w:type="dxa"/>
            <w:shd w:val="clear" w:color="auto" w:fill="auto"/>
            <w:noWrap/>
            <w:vAlign w:val="center"/>
          </w:tcPr>
          <w:p w14:paraId="1B3332BA">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高健</w:t>
            </w:r>
          </w:p>
        </w:tc>
        <w:tc>
          <w:tcPr>
            <w:tcW w:w="1243" w:type="dxa"/>
            <w:shd w:val="clear" w:color="auto" w:fill="auto"/>
            <w:vAlign w:val="center"/>
          </w:tcPr>
          <w:p w14:paraId="03BADE9F">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463,646</w:t>
            </w:r>
          </w:p>
        </w:tc>
        <w:tc>
          <w:tcPr>
            <w:tcW w:w="1350" w:type="dxa"/>
            <w:shd w:val="clear" w:color="auto" w:fill="auto"/>
            <w:vAlign w:val="center"/>
          </w:tcPr>
          <w:p w14:paraId="5B86E83D">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463,646</w:t>
            </w:r>
          </w:p>
        </w:tc>
        <w:tc>
          <w:tcPr>
            <w:tcW w:w="1843" w:type="dxa"/>
            <w:shd w:val="clear" w:color="auto" w:fill="auto"/>
            <w:vAlign w:val="center"/>
          </w:tcPr>
          <w:p w14:paraId="6201A79E">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0.0490%</w:t>
            </w:r>
          </w:p>
        </w:tc>
        <w:tc>
          <w:tcPr>
            <w:tcW w:w="1189" w:type="dxa"/>
            <w:shd w:val="clear" w:color="auto" w:fill="auto"/>
            <w:vAlign w:val="center"/>
          </w:tcPr>
          <w:p w14:paraId="0EE9E57F">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continue"/>
            <w:shd w:val="clear" w:color="auto" w:fill="auto"/>
            <w:vAlign w:val="center"/>
          </w:tcPr>
          <w:p w14:paraId="75840307">
            <w:pPr>
              <w:jc w:val="left"/>
              <w:rPr>
                <w:rFonts w:hint="eastAsia" w:ascii="宋体" w:hAnsi="宋体" w:eastAsia="宋体" w:cs="宋体"/>
                <w:b w:val="0"/>
                <w:bCs w:val="0"/>
                <w:i w:val="0"/>
                <w:iCs w:val="0"/>
                <w:color w:val="000000"/>
                <w:sz w:val="21"/>
                <w:szCs w:val="21"/>
                <w:u w:val="none"/>
              </w:rPr>
            </w:pPr>
          </w:p>
        </w:tc>
      </w:tr>
      <w:tr w14:paraId="5C3F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dxa"/>
            <w:shd w:val="clear" w:color="auto" w:fill="auto"/>
            <w:vAlign w:val="center"/>
          </w:tcPr>
          <w:p w14:paraId="1D2CCADB">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19</w:t>
            </w:r>
          </w:p>
        </w:tc>
        <w:tc>
          <w:tcPr>
            <w:tcW w:w="2162" w:type="dxa"/>
            <w:shd w:val="clear" w:color="auto" w:fill="auto"/>
            <w:noWrap/>
            <w:vAlign w:val="center"/>
          </w:tcPr>
          <w:p w14:paraId="5AD8D258">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苏州资达股权投资管理合伙企业（有限合伙）</w:t>
            </w:r>
          </w:p>
        </w:tc>
        <w:tc>
          <w:tcPr>
            <w:tcW w:w="1243" w:type="dxa"/>
            <w:shd w:val="clear" w:color="auto" w:fill="auto"/>
            <w:vAlign w:val="center"/>
          </w:tcPr>
          <w:p w14:paraId="6729210F">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337,491</w:t>
            </w:r>
          </w:p>
        </w:tc>
        <w:tc>
          <w:tcPr>
            <w:tcW w:w="1350" w:type="dxa"/>
            <w:shd w:val="clear" w:color="auto" w:fill="auto"/>
            <w:vAlign w:val="center"/>
          </w:tcPr>
          <w:p w14:paraId="272B8FB0">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337,491</w:t>
            </w:r>
          </w:p>
        </w:tc>
        <w:tc>
          <w:tcPr>
            <w:tcW w:w="1843" w:type="dxa"/>
            <w:shd w:val="clear" w:color="auto" w:fill="auto"/>
            <w:vAlign w:val="center"/>
          </w:tcPr>
          <w:p w14:paraId="263A4A4E">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0.0357%</w:t>
            </w:r>
          </w:p>
        </w:tc>
        <w:tc>
          <w:tcPr>
            <w:tcW w:w="1189" w:type="dxa"/>
            <w:shd w:val="clear" w:color="auto" w:fill="auto"/>
            <w:vAlign w:val="center"/>
          </w:tcPr>
          <w:p w14:paraId="4BA23577">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continue"/>
            <w:shd w:val="clear" w:color="auto" w:fill="auto"/>
            <w:vAlign w:val="center"/>
          </w:tcPr>
          <w:p w14:paraId="785E29AF">
            <w:pPr>
              <w:jc w:val="left"/>
              <w:rPr>
                <w:rFonts w:hint="eastAsia" w:ascii="宋体" w:hAnsi="宋体" w:eastAsia="宋体" w:cs="宋体"/>
                <w:b w:val="0"/>
                <w:bCs w:val="0"/>
                <w:i w:val="0"/>
                <w:iCs w:val="0"/>
                <w:color w:val="000000"/>
                <w:sz w:val="21"/>
                <w:szCs w:val="21"/>
                <w:u w:val="none"/>
              </w:rPr>
            </w:pPr>
          </w:p>
        </w:tc>
      </w:tr>
      <w:tr w14:paraId="2184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8" w:type="dxa"/>
            <w:shd w:val="clear" w:color="auto" w:fill="auto"/>
            <w:vAlign w:val="center"/>
          </w:tcPr>
          <w:p w14:paraId="3CA93925">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w:t>
            </w:r>
          </w:p>
        </w:tc>
        <w:tc>
          <w:tcPr>
            <w:tcW w:w="2162" w:type="dxa"/>
            <w:shd w:val="clear" w:color="auto" w:fill="auto"/>
            <w:noWrap/>
            <w:vAlign w:val="center"/>
          </w:tcPr>
          <w:p w14:paraId="2AEDD717">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苏州君胜股权投资管理合伙企业（有限合伙）</w:t>
            </w:r>
          </w:p>
        </w:tc>
        <w:tc>
          <w:tcPr>
            <w:tcW w:w="1243" w:type="dxa"/>
            <w:shd w:val="clear" w:color="auto" w:fill="auto"/>
            <w:vAlign w:val="center"/>
          </w:tcPr>
          <w:p w14:paraId="3F207315">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190,041</w:t>
            </w:r>
          </w:p>
        </w:tc>
        <w:tc>
          <w:tcPr>
            <w:tcW w:w="1350" w:type="dxa"/>
            <w:shd w:val="clear" w:color="auto" w:fill="auto"/>
            <w:vAlign w:val="center"/>
          </w:tcPr>
          <w:p w14:paraId="0C2AAD0E">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190,041</w:t>
            </w:r>
          </w:p>
        </w:tc>
        <w:tc>
          <w:tcPr>
            <w:tcW w:w="1843" w:type="dxa"/>
            <w:shd w:val="clear" w:color="auto" w:fill="auto"/>
            <w:vAlign w:val="center"/>
          </w:tcPr>
          <w:p w14:paraId="0F364842">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0.0201%</w:t>
            </w:r>
          </w:p>
        </w:tc>
        <w:tc>
          <w:tcPr>
            <w:tcW w:w="1189" w:type="dxa"/>
            <w:shd w:val="clear" w:color="auto" w:fill="auto"/>
            <w:vAlign w:val="center"/>
          </w:tcPr>
          <w:p w14:paraId="06F9C634">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continue"/>
            <w:shd w:val="clear" w:color="auto" w:fill="auto"/>
            <w:vAlign w:val="center"/>
          </w:tcPr>
          <w:p w14:paraId="256F7887">
            <w:pPr>
              <w:jc w:val="left"/>
              <w:rPr>
                <w:rFonts w:hint="eastAsia" w:ascii="宋体" w:hAnsi="宋体" w:eastAsia="宋体" w:cs="宋体"/>
                <w:b w:val="0"/>
                <w:bCs w:val="0"/>
                <w:i w:val="0"/>
                <w:iCs w:val="0"/>
                <w:color w:val="000000"/>
                <w:sz w:val="21"/>
                <w:szCs w:val="21"/>
                <w:u w:val="none"/>
              </w:rPr>
            </w:pPr>
          </w:p>
        </w:tc>
      </w:tr>
      <w:tr w14:paraId="6757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8" w:type="dxa"/>
            <w:shd w:val="clear" w:color="auto" w:fill="auto"/>
            <w:vAlign w:val="center"/>
          </w:tcPr>
          <w:p w14:paraId="469D5CF5">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21</w:t>
            </w:r>
          </w:p>
        </w:tc>
        <w:tc>
          <w:tcPr>
            <w:tcW w:w="2162" w:type="dxa"/>
            <w:shd w:val="clear" w:color="auto" w:fill="auto"/>
            <w:noWrap/>
            <w:vAlign w:val="center"/>
          </w:tcPr>
          <w:p w14:paraId="403009D8">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邢东剑</w:t>
            </w:r>
          </w:p>
        </w:tc>
        <w:tc>
          <w:tcPr>
            <w:tcW w:w="1243" w:type="dxa"/>
            <w:shd w:val="clear" w:color="auto" w:fill="auto"/>
            <w:vAlign w:val="center"/>
          </w:tcPr>
          <w:p w14:paraId="38EE4D4E">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127,310</w:t>
            </w:r>
          </w:p>
        </w:tc>
        <w:tc>
          <w:tcPr>
            <w:tcW w:w="1350" w:type="dxa"/>
            <w:shd w:val="clear" w:color="auto" w:fill="auto"/>
            <w:vAlign w:val="center"/>
          </w:tcPr>
          <w:p w14:paraId="111F3EEC">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127,310</w:t>
            </w:r>
          </w:p>
        </w:tc>
        <w:tc>
          <w:tcPr>
            <w:tcW w:w="1843" w:type="dxa"/>
            <w:shd w:val="clear" w:color="auto" w:fill="auto"/>
            <w:vAlign w:val="center"/>
          </w:tcPr>
          <w:p w14:paraId="1E3139AB">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0.0135%</w:t>
            </w:r>
          </w:p>
        </w:tc>
        <w:tc>
          <w:tcPr>
            <w:tcW w:w="1189" w:type="dxa"/>
            <w:shd w:val="clear" w:color="auto" w:fill="auto"/>
            <w:vAlign w:val="center"/>
          </w:tcPr>
          <w:p w14:paraId="5393F4DE">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continue"/>
            <w:shd w:val="clear" w:color="auto" w:fill="auto"/>
            <w:vAlign w:val="center"/>
          </w:tcPr>
          <w:p w14:paraId="2AD01540">
            <w:pPr>
              <w:jc w:val="left"/>
              <w:rPr>
                <w:rFonts w:hint="eastAsia" w:ascii="宋体" w:hAnsi="宋体" w:eastAsia="宋体" w:cs="宋体"/>
                <w:b w:val="0"/>
                <w:bCs w:val="0"/>
                <w:i w:val="0"/>
                <w:iCs w:val="0"/>
                <w:color w:val="000000"/>
                <w:sz w:val="21"/>
                <w:szCs w:val="21"/>
                <w:u w:val="none"/>
              </w:rPr>
            </w:pPr>
          </w:p>
        </w:tc>
      </w:tr>
      <w:tr w14:paraId="7C46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dxa"/>
            <w:shd w:val="clear" w:color="auto" w:fill="auto"/>
            <w:vAlign w:val="center"/>
          </w:tcPr>
          <w:p w14:paraId="528FE238">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22</w:t>
            </w:r>
          </w:p>
        </w:tc>
        <w:tc>
          <w:tcPr>
            <w:tcW w:w="2162" w:type="dxa"/>
            <w:shd w:val="clear" w:color="auto" w:fill="auto"/>
            <w:noWrap/>
            <w:vAlign w:val="center"/>
          </w:tcPr>
          <w:p w14:paraId="70B7A456">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徐红岩</w:t>
            </w:r>
          </w:p>
        </w:tc>
        <w:tc>
          <w:tcPr>
            <w:tcW w:w="1243" w:type="dxa"/>
            <w:shd w:val="clear" w:color="auto" w:fill="auto"/>
            <w:vAlign w:val="center"/>
          </w:tcPr>
          <w:p w14:paraId="7B4958FA">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1,181,092</w:t>
            </w:r>
          </w:p>
        </w:tc>
        <w:tc>
          <w:tcPr>
            <w:tcW w:w="1350" w:type="dxa"/>
            <w:shd w:val="clear" w:color="auto" w:fill="auto"/>
            <w:vAlign w:val="center"/>
          </w:tcPr>
          <w:p w14:paraId="5D338E4E">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1,181,092</w:t>
            </w:r>
          </w:p>
        </w:tc>
        <w:tc>
          <w:tcPr>
            <w:tcW w:w="1843" w:type="dxa"/>
            <w:shd w:val="clear" w:color="auto" w:fill="auto"/>
            <w:vAlign w:val="center"/>
          </w:tcPr>
          <w:p w14:paraId="51398ADF">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0.1249%</w:t>
            </w:r>
          </w:p>
        </w:tc>
        <w:tc>
          <w:tcPr>
            <w:tcW w:w="1189" w:type="dxa"/>
            <w:shd w:val="clear" w:color="auto" w:fill="auto"/>
            <w:vAlign w:val="center"/>
          </w:tcPr>
          <w:p w14:paraId="57E50B08">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restart"/>
            <w:shd w:val="clear" w:color="auto" w:fill="auto"/>
            <w:vAlign w:val="center"/>
          </w:tcPr>
          <w:p w14:paraId="72B2306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特威原小股东</w:t>
            </w:r>
          </w:p>
        </w:tc>
      </w:tr>
      <w:tr w14:paraId="5BB1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dxa"/>
            <w:shd w:val="clear" w:color="auto" w:fill="auto"/>
            <w:vAlign w:val="center"/>
          </w:tcPr>
          <w:p w14:paraId="7855A2FA">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23</w:t>
            </w:r>
          </w:p>
        </w:tc>
        <w:tc>
          <w:tcPr>
            <w:tcW w:w="2162" w:type="dxa"/>
            <w:shd w:val="clear" w:color="auto" w:fill="auto"/>
            <w:noWrap/>
            <w:vAlign w:val="center"/>
          </w:tcPr>
          <w:p w14:paraId="3655F799">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徐争鸣</w:t>
            </w:r>
          </w:p>
        </w:tc>
        <w:tc>
          <w:tcPr>
            <w:tcW w:w="1243" w:type="dxa"/>
            <w:shd w:val="clear" w:color="auto" w:fill="auto"/>
            <w:vAlign w:val="center"/>
          </w:tcPr>
          <w:p w14:paraId="72E105E0">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337,454</w:t>
            </w:r>
          </w:p>
        </w:tc>
        <w:tc>
          <w:tcPr>
            <w:tcW w:w="1350" w:type="dxa"/>
            <w:shd w:val="clear" w:color="auto" w:fill="auto"/>
            <w:vAlign w:val="center"/>
          </w:tcPr>
          <w:p w14:paraId="6C84EE69">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337,454</w:t>
            </w:r>
          </w:p>
        </w:tc>
        <w:tc>
          <w:tcPr>
            <w:tcW w:w="1843" w:type="dxa"/>
            <w:shd w:val="clear" w:color="auto" w:fill="auto"/>
            <w:vAlign w:val="center"/>
          </w:tcPr>
          <w:p w14:paraId="5E4A6583">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0.0357%</w:t>
            </w:r>
          </w:p>
        </w:tc>
        <w:tc>
          <w:tcPr>
            <w:tcW w:w="1189" w:type="dxa"/>
            <w:shd w:val="clear" w:color="auto" w:fill="auto"/>
            <w:vAlign w:val="center"/>
          </w:tcPr>
          <w:p w14:paraId="7C92B886">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continue"/>
            <w:shd w:val="clear" w:color="auto" w:fill="auto"/>
            <w:vAlign w:val="center"/>
          </w:tcPr>
          <w:p w14:paraId="7349D2CE">
            <w:pPr>
              <w:jc w:val="left"/>
              <w:rPr>
                <w:rFonts w:hint="eastAsia" w:ascii="宋体" w:hAnsi="宋体" w:eastAsia="宋体" w:cs="宋体"/>
                <w:b w:val="0"/>
                <w:bCs w:val="0"/>
                <w:i w:val="0"/>
                <w:iCs w:val="0"/>
                <w:color w:val="000000"/>
                <w:sz w:val="21"/>
                <w:szCs w:val="21"/>
                <w:u w:val="none"/>
              </w:rPr>
            </w:pPr>
          </w:p>
        </w:tc>
      </w:tr>
      <w:tr w14:paraId="500D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8" w:type="dxa"/>
            <w:shd w:val="clear" w:color="auto" w:fill="auto"/>
            <w:vAlign w:val="center"/>
          </w:tcPr>
          <w:p w14:paraId="05079805">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w:t>
            </w:r>
          </w:p>
        </w:tc>
        <w:tc>
          <w:tcPr>
            <w:tcW w:w="2162" w:type="dxa"/>
            <w:shd w:val="clear" w:color="auto" w:fill="auto"/>
            <w:noWrap/>
            <w:vAlign w:val="center"/>
          </w:tcPr>
          <w:p w14:paraId="6C1F698B">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陆燕</w:t>
            </w:r>
          </w:p>
        </w:tc>
        <w:tc>
          <w:tcPr>
            <w:tcW w:w="1243" w:type="dxa"/>
            <w:shd w:val="clear" w:color="auto" w:fill="auto"/>
            <w:vAlign w:val="center"/>
          </w:tcPr>
          <w:p w14:paraId="4CC8D8CC">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84,363</w:t>
            </w:r>
          </w:p>
        </w:tc>
        <w:tc>
          <w:tcPr>
            <w:tcW w:w="1350" w:type="dxa"/>
            <w:shd w:val="clear" w:color="auto" w:fill="auto"/>
            <w:vAlign w:val="center"/>
          </w:tcPr>
          <w:p w14:paraId="43738E3E">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84,363</w:t>
            </w:r>
          </w:p>
        </w:tc>
        <w:tc>
          <w:tcPr>
            <w:tcW w:w="1843" w:type="dxa"/>
            <w:shd w:val="clear" w:color="auto" w:fill="auto"/>
            <w:vAlign w:val="center"/>
          </w:tcPr>
          <w:p w14:paraId="4E443D2C">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0.0089%</w:t>
            </w:r>
          </w:p>
        </w:tc>
        <w:tc>
          <w:tcPr>
            <w:tcW w:w="1189" w:type="dxa"/>
            <w:shd w:val="clear" w:color="auto" w:fill="auto"/>
            <w:vAlign w:val="center"/>
          </w:tcPr>
          <w:p w14:paraId="60FACCDE">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continue"/>
            <w:shd w:val="clear" w:color="auto" w:fill="auto"/>
            <w:vAlign w:val="center"/>
          </w:tcPr>
          <w:p w14:paraId="66492282">
            <w:pPr>
              <w:jc w:val="left"/>
              <w:rPr>
                <w:rFonts w:hint="eastAsia" w:ascii="宋体" w:hAnsi="宋体" w:eastAsia="宋体" w:cs="宋体"/>
                <w:b w:val="0"/>
                <w:bCs w:val="0"/>
                <w:i w:val="0"/>
                <w:iCs w:val="0"/>
                <w:color w:val="000000"/>
                <w:sz w:val="21"/>
                <w:szCs w:val="21"/>
                <w:u w:val="none"/>
              </w:rPr>
            </w:pPr>
          </w:p>
        </w:tc>
      </w:tr>
      <w:tr w14:paraId="3FD0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8" w:type="dxa"/>
            <w:shd w:val="clear" w:color="auto" w:fill="auto"/>
            <w:vAlign w:val="center"/>
          </w:tcPr>
          <w:p w14:paraId="31443019">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25</w:t>
            </w:r>
          </w:p>
        </w:tc>
        <w:tc>
          <w:tcPr>
            <w:tcW w:w="2162" w:type="dxa"/>
            <w:shd w:val="clear" w:color="auto" w:fill="auto"/>
            <w:noWrap/>
            <w:vAlign w:val="center"/>
          </w:tcPr>
          <w:p w14:paraId="00703EF7">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王郑宏</w:t>
            </w:r>
          </w:p>
        </w:tc>
        <w:tc>
          <w:tcPr>
            <w:tcW w:w="1243" w:type="dxa"/>
            <w:shd w:val="clear" w:color="auto" w:fill="auto"/>
            <w:vAlign w:val="center"/>
          </w:tcPr>
          <w:p w14:paraId="39D750BF">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84,363</w:t>
            </w:r>
          </w:p>
        </w:tc>
        <w:tc>
          <w:tcPr>
            <w:tcW w:w="1350" w:type="dxa"/>
            <w:shd w:val="clear" w:color="auto" w:fill="auto"/>
            <w:vAlign w:val="center"/>
          </w:tcPr>
          <w:p w14:paraId="527B2645">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84,363</w:t>
            </w:r>
          </w:p>
        </w:tc>
        <w:tc>
          <w:tcPr>
            <w:tcW w:w="1843" w:type="dxa"/>
            <w:shd w:val="clear" w:color="auto" w:fill="auto"/>
            <w:vAlign w:val="center"/>
          </w:tcPr>
          <w:p w14:paraId="1A70F0FB">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0.0089%</w:t>
            </w:r>
          </w:p>
        </w:tc>
        <w:tc>
          <w:tcPr>
            <w:tcW w:w="1189" w:type="dxa"/>
            <w:shd w:val="clear" w:color="auto" w:fill="auto"/>
            <w:vAlign w:val="center"/>
          </w:tcPr>
          <w:p w14:paraId="65BF2D0C">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0</w:t>
            </w:r>
          </w:p>
        </w:tc>
        <w:tc>
          <w:tcPr>
            <w:tcW w:w="1061" w:type="dxa"/>
            <w:vMerge w:val="continue"/>
            <w:shd w:val="clear" w:color="auto" w:fill="auto"/>
            <w:vAlign w:val="center"/>
          </w:tcPr>
          <w:p w14:paraId="6B7FC991">
            <w:pPr>
              <w:jc w:val="left"/>
              <w:rPr>
                <w:rFonts w:hint="eastAsia" w:ascii="宋体" w:hAnsi="宋体" w:eastAsia="宋体" w:cs="宋体"/>
                <w:b w:val="0"/>
                <w:bCs w:val="0"/>
                <w:i w:val="0"/>
                <w:iCs w:val="0"/>
                <w:color w:val="000000"/>
                <w:sz w:val="21"/>
                <w:szCs w:val="21"/>
                <w:u w:val="none"/>
              </w:rPr>
            </w:pPr>
          </w:p>
        </w:tc>
      </w:tr>
      <w:tr w14:paraId="3E3D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0" w:type="dxa"/>
            <w:gridSpan w:val="2"/>
            <w:shd w:val="clear" w:color="auto" w:fill="D7D7D7"/>
            <w:noWrap/>
            <w:vAlign w:val="center"/>
          </w:tcPr>
          <w:p w14:paraId="3B10EA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合计</w:t>
            </w:r>
          </w:p>
        </w:tc>
        <w:tc>
          <w:tcPr>
            <w:tcW w:w="1243" w:type="dxa"/>
            <w:shd w:val="clear" w:color="auto" w:fill="auto"/>
            <w:vAlign w:val="center"/>
          </w:tcPr>
          <w:p w14:paraId="69EADFEC">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44,220,007</w:t>
            </w:r>
          </w:p>
        </w:tc>
        <w:tc>
          <w:tcPr>
            <w:tcW w:w="1350" w:type="dxa"/>
            <w:shd w:val="clear" w:color="auto" w:fill="auto"/>
            <w:vAlign w:val="center"/>
          </w:tcPr>
          <w:p w14:paraId="595075C8">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43,393,059</w:t>
            </w:r>
          </w:p>
        </w:tc>
        <w:tc>
          <w:tcPr>
            <w:tcW w:w="1843" w:type="dxa"/>
            <w:shd w:val="clear" w:color="auto" w:fill="auto"/>
            <w:vAlign w:val="center"/>
          </w:tcPr>
          <w:p w14:paraId="43CDC937">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4.5898%</w:t>
            </w:r>
          </w:p>
        </w:tc>
        <w:tc>
          <w:tcPr>
            <w:tcW w:w="1189" w:type="dxa"/>
            <w:shd w:val="clear" w:color="auto" w:fill="auto"/>
            <w:vAlign w:val="center"/>
          </w:tcPr>
          <w:p w14:paraId="6069E3EE">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w:t>
            </w:r>
          </w:p>
        </w:tc>
        <w:tc>
          <w:tcPr>
            <w:tcW w:w="1061" w:type="dxa"/>
            <w:shd w:val="clear" w:color="auto" w:fill="auto"/>
            <w:vAlign w:val="center"/>
          </w:tcPr>
          <w:p w14:paraId="6673FF04">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r>
    </w:tbl>
    <w:p w14:paraId="1EF24E86">
      <w:pPr>
        <w:numPr>
          <w:ilvl w:val="-1"/>
          <w:numId w:val="0"/>
        </w:numPr>
        <w:adjustRightInd w:val="0"/>
        <w:snapToGrid w:val="0"/>
        <w:spacing w:before="0" w:beforeLines="-2147483648" w:line="360" w:lineRule="auto"/>
        <w:ind w:firstLine="482" w:firstLineChars="200"/>
        <w:outlineLvl w:val="9"/>
        <w:rPr>
          <w:rFonts w:hint="eastAsia"/>
          <w:b/>
          <w:color w:val="000000"/>
          <w:sz w:val="24"/>
          <w:szCs w:val="24"/>
        </w:rPr>
      </w:pPr>
      <w:r>
        <w:rPr>
          <w:rFonts w:hint="eastAsia"/>
          <w:b/>
          <w:color w:val="000000"/>
          <w:sz w:val="24"/>
          <w:szCs w:val="24"/>
          <w:lang w:val="en-US" w:eastAsia="zh-CN"/>
        </w:rPr>
        <w:t>四、</w:t>
      </w:r>
      <w:r>
        <w:rPr>
          <w:rFonts w:hint="eastAsia"/>
          <w:b/>
          <w:color w:val="000000"/>
          <w:sz w:val="24"/>
          <w:szCs w:val="24"/>
        </w:rPr>
        <w:t>本次解除限售前后公司股本结构</w:t>
      </w:r>
    </w:p>
    <w:tbl>
      <w:tblPr>
        <w:tblStyle w:val="11"/>
        <w:tblW w:w="9307" w:type="dxa"/>
        <w:jc w:val="center"/>
        <w:tblLayout w:type="autofit"/>
        <w:tblCellMar>
          <w:top w:w="0" w:type="dxa"/>
          <w:left w:w="108" w:type="dxa"/>
          <w:bottom w:w="0" w:type="dxa"/>
          <w:right w:w="108" w:type="dxa"/>
        </w:tblCellMar>
      </w:tblPr>
      <w:tblGrid>
        <w:gridCol w:w="1885"/>
        <w:gridCol w:w="1266"/>
        <w:gridCol w:w="1078"/>
        <w:gridCol w:w="1715"/>
        <w:gridCol w:w="1300"/>
        <w:gridCol w:w="2063"/>
      </w:tblGrid>
      <w:tr w14:paraId="53E2512C">
        <w:tblPrEx>
          <w:tblCellMar>
            <w:top w:w="0" w:type="dxa"/>
            <w:left w:w="108" w:type="dxa"/>
            <w:bottom w:w="0" w:type="dxa"/>
            <w:right w:w="108" w:type="dxa"/>
          </w:tblCellMar>
        </w:tblPrEx>
        <w:trPr>
          <w:trHeight w:val="397" w:hRule="atLeast"/>
          <w:jc w:val="center"/>
        </w:trPr>
        <w:tc>
          <w:tcPr>
            <w:tcW w:w="1885" w:type="dxa"/>
            <w:vMerge w:val="restar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201A3459">
            <w:pPr>
              <w:widowControl/>
              <w:jc w:val="center"/>
              <w:rPr>
                <w:rFonts w:ascii="宋体" w:hAnsi="宋体" w:cs="宋体"/>
                <w:b/>
                <w:bCs/>
                <w:color w:val="000000"/>
                <w:kern w:val="0"/>
                <w:szCs w:val="21"/>
              </w:rPr>
            </w:pPr>
            <w:r>
              <w:rPr>
                <w:rFonts w:hint="eastAsia" w:ascii="宋体" w:hAnsi="宋体" w:cs="宋体"/>
                <w:b/>
                <w:bCs/>
                <w:color w:val="000000"/>
                <w:kern w:val="0"/>
                <w:szCs w:val="21"/>
              </w:rPr>
              <w:t>股份性质</w:t>
            </w:r>
          </w:p>
        </w:tc>
        <w:tc>
          <w:tcPr>
            <w:tcW w:w="2344" w:type="dxa"/>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668D25A7">
            <w:pPr>
              <w:widowControl/>
              <w:jc w:val="center"/>
              <w:rPr>
                <w:rFonts w:ascii="宋体" w:hAnsi="宋体" w:cs="宋体"/>
                <w:b/>
                <w:bCs/>
                <w:color w:val="000000"/>
                <w:kern w:val="0"/>
                <w:szCs w:val="21"/>
              </w:rPr>
            </w:pPr>
            <w:r>
              <w:rPr>
                <w:rFonts w:hint="eastAsia" w:ascii="宋体" w:hAnsi="宋体" w:cs="宋体"/>
                <w:b/>
                <w:bCs/>
                <w:color w:val="000000"/>
                <w:kern w:val="0"/>
                <w:szCs w:val="21"/>
              </w:rPr>
              <w:t>本次解除限售前</w:t>
            </w:r>
          </w:p>
        </w:tc>
        <w:tc>
          <w:tcPr>
            <w:tcW w:w="1715" w:type="dxa"/>
            <w:vMerge w:val="restar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3EF4596A">
            <w:pPr>
              <w:widowControl/>
              <w:jc w:val="center"/>
              <w:rPr>
                <w:rFonts w:ascii="宋体" w:hAnsi="宋体" w:cs="宋体"/>
                <w:b/>
                <w:bCs/>
                <w:color w:val="000000"/>
                <w:kern w:val="0"/>
                <w:szCs w:val="21"/>
              </w:rPr>
            </w:pPr>
            <w:r>
              <w:rPr>
                <w:rFonts w:hint="eastAsia" w:ascii="宋体" w:hAnsi="宋体" w:cs="宋体"/>
                <w:b/>
                <w:bCs/>
                <w:color w:val="000000"/>
                <w:kern w:val="0"/>
                <w:szCs w:val="21"/>
              </w:rPr>
              <w:t>本次解除限售股份数量（股）</w:t>
            </w:r>
          </w:p>
        </w:tc>
        <w:tc>
          <w:tcPr>
            <w:tcW w:w="3363" w:type="dxa"/>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2168C64F">
            <w:pPr>
              <w:widowControl/>
              <w:jc w:val="center"/>
              <w:rPr>
                <w:rFonts w:ascii="宋体" w:hAnsi="宋体" w:cs="宋体"/>
                <w:b/>
                <w:bCs/>
                <w:color w:val="000000"/>
                <w:kern w:val="0"/>
                <w:szCs w:val="21"/>
              </w:rPr>
            </w:pPr>
            <w:r>
              <w:rPr>
                <w:rFonts w:hint="eastAsia" w:ascii="宋体" w:hAnsi="宋体" w:cs="宋体"/>
                <w:b/>
                <w:bCs/>
                <w:color w:val="000000"/>
                <w:kern w:val="0"/>
                <w:szCs w:val="21"/>
              </w:rPr>
              <w:t>本次解除限售后</w:t>
            </w:r>
          </w:p>
        </w:tc>
      </w:tr>
      <w:tr w14:paraId="5FCCF18A">
        <w:tblPrEx>
          <w:tblCellMar>
            <w:top w:w="0" w:type="dxa"/>
            <w:left w:w="108" w:type="dxa"/>
            <w:bottom w:w="0" w:type="dxa"/>
            <w:right w:w="108" w:type="dxa"/>
          </w:tblCellMar>
        </w:tblPrEx>
        <w:trPr>
          <w:trHeight w:val="397" w:hRule="atLeast"/>
          <w:jc w:val="center"/>
        </w:trPr>
        <w:tc>
          <w:tcPr>
            <w:tcW w:w="1885" w:type="dxa"/>
            <w:vMerge w:val="continue"/>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52B5FB1C">
            <w:pPr>
              <w:widowControl/>
              <w:jc w:val="left"/>
              <w:rPr>
                <w:rFonts w:ascii="宋体" w:hAnsi="宋体" w:cs="宋体"/>
                <w:b/>
                <w:bCs/>
                <w:color w:val="000000"/>
                <w:kern w:val="0"/>
                <w:szCs w:val="21"/>
              </w:rPr>
            </w:pPr>
          </w:p>
        </w:tc>
        <w:tc>
          <w:tcPr>
            <w:tcW w:w="1266"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12D709AF">
            <w:pPr>
              <w:widowControl/>
              <w:jc w:val="center"/>
              <w:rPr>
                <w:rFonts w:ascii="宋体" w:hAnsi="宋体" w:cs="宋体"/>
                <w:b/>
                <w:bCs/>
                <w:color w:val="000000"/>
                <w:kern w:val="0"/>
                <w:szCs w:val="21"/>
              </w:rPr>
            </w:pPr>
            <w:r>
              <w:rPr>
                <w:rFonts w:hint="eastAsia" w:ascii="宋体" w:hAnsi="宋体" w:cs="宋体"/>
                <w:b/>
                <w:bCs/>
                <w:color w:val="000000"/>
                <w:kern w:val="0"/>
                <w:szCs w:val="21"/>
              </w:rPr>
              <w:t>股份数量（股）</w:t>
            </w:r>
          </w:p>
        </w:tc>
        <w:tc>
          <w:tcPr>
            <w:tcW w:w="1078"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33338D37">
            <w:pPr>
              <w:widowControl/>
              <w:jc w:val="center"/>
              <w:rPr>
                <w:rFonts w:ascii="宋体" w:hAnsi="宋体" w:cs="宋体"/>
                <w:b/>
                <w:bCs/>
                <w:color w:val="000000"/>
                <w:kern w:val="0"/>
                <w:szCs w:val="21"/>
              </w:rPr>
            </w:pPr>
            <w:r>
              <w:rPr>
                <w:rFonts w:hint="eastAsia" w:ascii="宋体" w:hAnsi="宋体" w:cs="宋体"/>
                <w:b/>
                <w:bCs/>
                <w:color w:val="000000"/>
                <w:kern w:val="0"/>
                <w:szCs w:val="21"/>
              </w:rPr>
              <w:t>比例</w:t>
            </w:r>
          </w:p>
        </w:tc>
        <w:tc>
          <w:tcPr>
            <w:tcW w:w="1715" w:type="dxa"/>
            <w:vMerge w:val="continue"/>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5931C757">
            <w:pPr>
              <w:widowControl/>
              <w:jc w:val="left"/>
              <w:rPr>
                <w:rFonts w:ascii="宋体" w:hAnsi="宋体" w:cs="宋体"/>
                <w:b/>
                <w:bCs/>
                <w:color w:val="000000"/>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272F0A84">
            <w:pPr>
              <w:widowControl/>
              <w:jc w:val="center"/>
              <w:rPr>
                <w:rFonts w:ascii="宋体" w:hAnsi="宋体" w:cs="宋体"/>
                <w:b/>
                <w:bCs/>
                <w:color w:val="000000"/>
                <w:kern w:val="0"/>
                <w:szCs w:val="21"/>
              </w:rPr>
            </w:pPr>
            <w:r>
              <w:rPr>
                <w:rFonts w:hint="eastAsia" w:ascii="宋体" w:hAnsi="宋体" w:cs="宋体"/>
                <w:b/>
                <w:bCs/>
                <w:color w:val="000000"/>
                <w:kern w:val="0"/>
                <w:szCs w:val="21"/>
              </w:rPr>
              <w:t>股份数量（股）</w:t>
            </w:r>
          </w:p>
        </w:tc>
        <w:tc>
          <w:tcPr>
            <w:tcW w:w="2063"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0"/>
            <w:vAlign w:val="center"/>
          </w:tcPr>
          <w:p w14:paraId="789AF2C1">
            <w:pPr>
              <w:widowControl/>
              <w:jc w:val="center"/>
              <w:rPr>
                <w:rFonts w:ascii="宋体" w:hAnsi="宋体" w:cs="宋体"/>
                <w:b/>
                <w:bCs/>
                <w:color w:val="000000"/>
                <w:kern w:val="0"/>
                <w:szCs w:val="21"/>
              </w:rPr>
            </w:pPr>
            <w:r>
              <w:rPr>
                <w:rFonts w:hint="eastAsia" w:ascii="宋体" w:hAnsi="宋体" w:cs="宋体"/>
                <w:b/>
                <w:bCs/>
                <w:color w:val="000000"/>
                <w:kern w:val="0"/>
                <w:szCs w:val="21"/>
              </w:rPr>
              <w:t>比例</w:t>
            </w:r>
          </w:p>
        </w:tc>
      </w:tr>
      <w:tr w14:paraId="3FE50F49">
        <w:tblPrEx>
          <w:tblCellMar>
            <w:top w:w="0" w:type="dxa"/>
            <w:left w:w="108" w:type="dxa"/>
            <w:bottom w:w="0" w:type="dxa"/>
            <w:right w:w="108" w:type="dxa"/>
          </w:tblCellMar>
        </w:tblPrEx>
        <w:trPr>
          <w:trHeight w:val="90" w:hRule="atLeast"/>
          <w:jc w:val="center"/>
        </w:trPr>
        <w:tc>
          <w:tcPr>
            <w:tcW w:w="1885" w:type="dxa"/>
            <w:tcBorders>
              <w:top w:val="single" w:color="auto" w:sz="4" w:space="0"/>
              <w:left w:val="single" w:color="auto" w:sz="4" w:space="0"/>
              <w:bottom w:val="single" w:color="auto" w:sz="4" w:space="0"/>
              <w:right w:val="single" w:color="auto" w:sz="4" w:space="0"/>
            </w:tcBorders>
            <w:noWrap w:val="0"/>
            <w:vAlign w:val="center"/>
          </w:tcPr>
          <w:p w14:paraId="57F059F4">
            <w:pPr>
              <w:widowControl/>
              <w:rPr>
                <w:rFonts w:ascii="宋体" w:hAnsi="宋体" w:cs="宋体"/>
                <w:color w:val="000000"/>
                <w:kern w:val="0"/>
                <w:szCs w:val="21"/>
              </w:rPr>
            </w:pPr>
            <w:r>
              <w:rPr>
                <w:rFonts w:hint="eastAsia" w:ascii="宋体" w:hAnsi="宋体" w:cs="宋体"/>
                <w:color w:val="000000"/>
                <w:kern w:val="0"/>
                <w:szCs w:val="21"/>
              </w:rPr>
              <w:t>一、限售条件流通股</w:t>
            </w:r>
            <w:r>
              <w:rPr>
                <w:color w:val="000000"/>
                <w:kern w:val="0"/>
                <w:szCs w:val="21"/>
              </w:rPr>
              <w:t>/</w:t>
            </w:r>
            <w:r>
              <w:rPr>
                <w:rFonts w:hint="eastAsia" w:ascii="宋体" w:hAnsi="宋体" w:cs="宋体"/>
                <w:color w:val="000000"/>
                <w:kern w:val="0"/>
                <w:szCs w:val="21"/>
              </w:rPr>
              <w:t>非流通股</w:t>
            </w:r>
          </w:p>
        </w:tc>
        <w:tc>
          <w:tcPr>
            <w:tcW w:w="1266" w:type="dxa"/>
            <w:tcBorders>
              <w:top w:val="single" w:color="auto" w:sz="4" w:space="0"/>
              <w:left w:val="single" w:color="auto" w:sz="4" w:space="0"/>
              <w:bottom w:val="single" w:color="auto" w:sz="4" w:space="0"/>
              <w:right w:val="single" w:color="auto" w:sz="4" w:space="0"/>
            </w:tcBorders>
            <w:noWrap/>
            <w:vAlign w:val="center"/>
          </w:tcPr>
          <w:p w14:paraId="471F2875">
            <w:pPr>
              <w:keepNext w:val="0"/>
              <w:keepLines w:val="0"/>
              <w:widowControl/>
              <w:suppressLineNumbers w:val="0"/>
              <w:jc w:val="right"/>
              <w:textAlignment w:val="center"/>
              <w:rPr>
                <w:szCs w:val="22"/>
              </w:rPr>
            </w:pPr>
            <w:r>
              <w:rPr>
                <w:rFonts w:hint="default" w:ascii="Times New Roman" w:hAnsi="Times New Roman" w:eastAsia="等线" w:cs="Times New Roman"/>
                <w:i w:val="0"/>
                <w:iCs w:val="0"/>
                <w:color w:val="000000"/>
                <w:kern w:val="0"/>
                <w:sz w:val="21"/>
                <w:szCs w:val="21"/>
                <w:u w:val="none"/>
                <w:lang w:val="en-US" w:eastAsia="zh-CN" w:bidi="ar"/>
              </w:rPr>
              <w:t>155,084,034</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047D179">
            <w:pPr>
              <w:keepNext w:val="0"/>
              <w:keepLines w:val="0"/>
              <w:widowControl/>
              <w:suppressLineNumbers w:val="0"/>
              <w:jc w:val="right"/>
              <w:textAlignment w:val="center"/>
              <w:rPr>
                <w:color w:val="000000"/>
                <w:kern w:val="0"/>
                <w:szCs w:val="21"/>
                <w:lang w:bidi="ar"/>
              </w:rPr>
            </w:pPr>
            <w:r>
              <w:rPr>
                <w:rFonts w:hint="default" w:ascii="Times New Roman" w:hAnsi="Times New Roman" w:eastAsia="等线" w:cs="Times New Roman"/>
                <w:i w:val="0"/>
                <w:iCs w:val="0"/>
                <w:color w:val="000000"/>
                <w:kern w:val="0"/>
                <w:sz w:val="21"/>
                <w:szCs w:val="21"/>
                <w:u w:val="none"/>
                <w:lang w:val="en-US" w:eastAsia="zh-CN" w:bidi="ar"/>
              </w:rPr>
              <w:t>16.40%</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181F9A00">
            <w:pPr>
              <w:keepNext w:val="0"/>
              <w:keepLines w:val="0"/>
              <w:widowControl/>
              <w:suppressLineNumbers w:val="0"/>
              <w:jc w:val="right"/>
              <w:textAlignment w:val="center"/>
              <w:rPr>
                <w:b/>
                <w:color w:val="000000"/>
                <w:szCs w:val="21"/>
              </w:rPr>
            </w:pPr>
            <w:r>
              <w:rPr>
                <w:rFonts w:hint="default" w:ascii="Times New Roman" w:hAnsi="Times New Roman" w:eastAsia="等线" w:cs="Times New Roman"/>
                <w:i w:val="0"/>
                <w:iCs w:val="0"/>
                <w:color w:val="000000"/>
                <w:kern w:val="0"/>
                <w:sz w:val="21"/>
                <w:szCs w:val="21"/>
                <w:u w:val="none"/>
                <w:lang w:val="en-US" w:eastAsia="zh-CN" w:bidi="ar"/>
              </w:rPr>
              <w:t>43,393,059</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66548C5">
            <w:pPr>
              <w:keepNext w:val="0"/>
              <w:keepLines w:val="0"/>
              <w:widowControl/>
              <w:suppressLineNumbers w:val="0"/>
              <w:jc w:val="right"/>
              <w:textAlignment w:val="center"/>
              <w:rPr>
                <w:color w:val="000000"/>
                <w:kern w:val="0"/>
                <w:szCs w:val="21"/>
                <w:lang w:bidi="ar"/>
              </w:rPr>
            </w:pPr>
            <w:r>
              <w:rPr>
                <w:rFonts w:hint="default" w:ascii="Times New Roman" w:hAnsi="Times New Roman" w:eastAsia="等线" w:cs="Times New Roman"/>
                <w:i w:val="0"/>
                <w:iCs w:val="0"/>
                <w:color w:val="000000"/>
                <w:kern w:val="0"/>
                <w:sz w:val="21"/>
                <w:szCs w:val="21"/>
                <w:u w:val="none"/>
                <w:lang w:val="en-US" w:eastAsia="zh-CN" w:bidi="ar"/>
              </w:rPr>
              <w:t>111,690,975</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7BFA64B2">
            <w:pPr>
              <w:keepNext w:val="0"/>
              <w:keepLines w:val="0"/>
              <w:widowControl/>
              <w:suppressLineNumbers w:val="0"/>
              <w:jc w:val="right"/>
              <w:textAlignment w:val="center"/>
              <w:rPr>
                <w:szCs w:val="22"/>
              </w:rPr>
            </w:pPr>
            <w:r>
              <w:rPr>
                <w:rFonts w:hint="default" w:ascii="Times New Roman" w:hAnsi="Times New Roman" w:eastAsia="等线" w:cs="Times New Roman"/>
                <w:i w:val="0"/>
                <w:iCs w:val="0"/>
                <w:color w:val="000000"/>
                <w:kern w:val="0"/>
                <w:sz w:val="21"/>
                <w:szCs w:val="21"/>
                <w:u w:val="none"/>
                <w:lang w:val="en-US" w:eastAsia="zh-CN" w:bidi="ar"/>
              </w:rPr>
              <w:t>11.81%</w:t>
            </w:r>
          </w:p>
        </w:tc>
      </w:tr>
      <w:tr w14:paraId="4AB079E1">
        <w:tblPrEx>
          <w:tblCellMar>
            <w:top w:w="0" w:type="dxa"/>
            <w:left w:w="108" w:type="dxa"/>
            <w:bottom w:w="0" w:type="dxa"/>
            <w:right w:w="108" w:type="dxa"/>
          </w:tblCellMar>
        </w:tblPrEx>
        <w:trPr>
          <w:trHeight w:val="397" w:hRule="atLeast"/>
          <w:jc w:val="center"/>
        </w:trPr>
        <w:tc>
          <w:tcPr>
            <w:tcW w:w="1885" w:type="dxa"/>
            <w:tcBorders>
              <w:top w:val="single" w:color="auto" w:sz="4" w:space="0"/>
              <w:left w:val="single" w:color="auto" w:sz="4" w:space="0"/>
              <w:bottom w:val="single" w:color="auto" w:sz="4" w:space="0"/>
              <w:right w:val="single" w:color="auto" w:sz="4" w:space="0"/>
            </w:tcBorders>
            <w:noWrap w:val="0"/>
            <w:vAlign w:val="center"/>
          </w:tcPr>
          <w:p w14:paraId="054BA34C">
            <w:pPr>
              <w:widowControl/>
              <w:ind w:firstLine="315" w:firstLineChars="150"/>
              <w:rPr>
                <w:rFonts w:hint="eastAsia" w:ascii="宋体" w:hAnsi="宋体" w:cs="宋体"/>
                <w:color w:val="000000"/>
                <w:kern w:val="0"/>
                <w:szCs w:val="21"/>
              </w:rPr>
            </w:pPr>
            <w:r>
              <w:rPr>
                <w:rFonts w:hint="eastAsia" w:ascii="宋体" w:hAnsi="宋体" w:cs="宋体"/>
                <w:color w:val="000000"/>
                <w:kern w:val="0"/>
                <w:szCs w:val="21"/>
              </w:rPr>
              <w:t>高管锁定股</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A88C5F5">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2,250</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CAD8186">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0.00%</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328485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B28ADE1">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2,250</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50F4AE90">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0.00%</w:t>
            </w:r>
          </w:p>
        </w:tc>
      </w:tr>
      <w:tr w14:paraId="6B6B7ECE">
        <w:tblPrEx>
          <w:tblCellMar>
            <w:top w:w="0" w:type="dxa"/>
            <w:left w:w="108" w:type="dxa"/>
            <w:bottom w:w="0" w:type="dxa"/>
            <w:right w:w="108" w:type="dxa"/>
          </w:tblCellMar>
        </w:tblPrEx>
        <w:trPr>
          <w:trHeight w:val="397" w:hRule="atLeast"/>
          <w:jc w:val="center"/>
        </w:trPr>
        <w:tc>
          <w:tcPr>
            <w:tcW w:w="1885" w:type="dxa"/>
            <w:tcBorders>
              <w:top w:val="single" w:color="auto" w:sz="4" w:space="0"/>
              <w:left w:val="single" w:color="auto" w:sz="4" w:space="0"/>
              <w:bottom w:val="single" w:color="auto" w:sz="4" w:space="0"/>
              <w:right w:val="single" w:color="auto" w:sz="4" w:space="0"/>
            </w:tcBorders>
            <w:noWrap w:val="0"/>
            <w:vAlign w:val="center"/>
          </w:tcPr>
          <w:p w14:paraId="71D27E73">
            <w:pPr>
              <w:widowControl/>
              <w:ind w:firstLine="315" w:firstLineChars="150"/>
              <w:rPr>
                <w:rFonts w:ascii="宋体" w:hAnsi="宋体" w:cs="宋体"/>
                <w:color w:val="000000"/>
                <w:kern w:val="0"/>
                <w:szCs w:val="21"/>
              </w:rPr>
            </w:pPr>
            <w:r>
              <w:rPr>
                <w:rFonts w:hint="eastAsia" w:ascii="宋体" w:hAnsi="宋体" w:cs="宋体"/>
                <w:color w:val="000000"/>
                <w:kern w:val="0"/>
                <w:szCs w:val="21"/>
              </w:rPr>
              <w:t>首发后限售股</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CD12B3F">
            <w:pPr>
              <w:keepNext w:val="0"/>
              <w:keepLines w:val="0"/>
              <w:widowControl/>
              <w:suppressLineNumbers w:val="0"/>
              <w:jc w:val="right"/>
              <w:textAlignment w:val="center"/>
              <w:rPr>
                <w:szCs w:val="22"/>
                <w:highlight w:val="yellow"/>
              </w:rPr>
            </w:pPr>
            <w:r>
              <w:rPr>
                <w:rFonts w:hint="default" w:ascii="Times New Roman" w:hAnsi="Times New Roman" w:eastAsia="等线" w:cs="Times New Roman"/>
                <w:i w:val="0"/>
                <w:iCs w:val="0"/>
                <w:color w:val="000000"/>
                <w:kern w:val="0"/>
                <w:sz w:val="21"/>
                <w:szCs w:val="21"/>
                <w:u w:val="none"/>
                <w:lang w:val="en-US" w:eastAsia="zh-CN" w:bidi="ar"/>
              </w:rPr>
              <w:t>154,217,784</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1C5C43FF">
            <w:pPr>
              <w:keepNext w:val="0"/>
              <w:keepLines w:val="0"/>
              <w:widowControl/>
              <w:suppressLineNumbers w:val="0"/>
              <w:jc w:val="right"/>
              <w:textAlignment w:val="center"/>
              <w:rPr>
                <w:rFonts w:hint="eastAsia"/>
                <w:color w:val="000000"/>
                <w:kern w:val="0"/>
                <w:szCs w:val="21"/>
                <w:highlight w:val="yellow"/>
                <w:lang w:bidi="ar"/>
              </w:rPr>
            </w:pPr>
            <w:r>
              <w:rPr>
                <w:rFonts w:hint="default" w:ascii="Times New Roman" w:hAnsi="Times New Roman" w:eastAsia="等线" w:cs="Times New Roman"/>
                <w:i w:val="0"/>
                <w:iCs w:val="0"/>
                <w:color w:val="000000"/>
                <w:kern w:val="0"/>
                <w:sz w:val="21"/>
                <w:szCs w:val="21"/>
                <w:u w:val="none"/>
                <w:lang w:val="en-US" w:eastAsia="zh-CN" w:bidi="ar"/>
              </w:rPr>
              <w:t>16.31%</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78FABD96">
            <w:pPr>
              <w:keepNext w:val="0"/>
              <w:keepLines w:val="0"/>
              <w:widowControl/>
              <w:suppressLineNumbers w:val="0"/>
              <w:jc w:val="right"/>
              <w:textAlignment w:val="center"/>
              <w:rPr>
                <w:b/>
                <w:color w:val="000000"/>
                <w:szCs w:val="21"/>
                <w:highlight w:val="yellow"/>
              </w:rPr>
            </w:pPr>
            <w:r>
              <w:rPr>
                <w:rFonts w:hint="default" w:ascii="Times New Roman" w:hAnsi="Times New Roman" w:eastAsia="等线" w:cs="Times New Roman"/>
                <w:i w:val="0"/>
                <w:iCs w:val="0"/>
                <w:color w:val="000000"/>
                <w:kern w:val="0"/>
                <w:sz w:val="21"/>
                <w:szCs w:val="21"/>
                <w:u w:val="none"/>
                <w:lang w:val="en-US" w:eastAsia="zh-CN" w:bidi="ar"/>
              </w:rPr>
              <w:t>43,393,059</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415F227">
            <w:pPr>
              <w:keepNext w:val="0"/>
              <w:keepLines w:val="0"/>
              <w:widowControl/>
              <w:suppressLineNumbers w:val="0"/>
              <w:jc w:val="right"/>
              <w:textAlignment w:val="center"/>
              <w:rPr>
                <w:rFonts w:hint="eastAsia"/>
                <w:color w:val="000000"/>
                <w:kern w:val="0"/>
                <w:szCs w:val="21"/>
                <w:highlight w:val="yellow"/>
                <w:lang w:bidi="ar"/>
              </w:rPr>
            </w:pPr>
            <w:r>
              <w:rPr>
                <w:rFonts w:hint="default" w:ascii="Times New Roman" w:hAnsi="Times New Roman" w:eastAsia="等线" w:cs="Times New Roman"/>
                <w:i w:val="0"/>
                <w:iCs w:val="0"/>
                <w:color w:val="000000"/>
                <w:kern w:val="0"/>
                <w:sz w:val="21"/>
                <w:szCs w:val="21"/>
                <w:u w:val="none"/>
                <w:lang w:val="en-US" w:eastAsia="zh-CN" w:bidi="ar"/>
              </w:rPr>
              <w:t>110,824,725</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3C873B21">
            <w:pPr>
              <w:keepNext w:val="0"/>
              <w:keepLines w:val="0"/>
              <w:widowControl/>
              <w:suppressLineNumbers w:val="0"/>
              <w:jc w:val="right"/>
              <w:textAlignment w:val="center"/>
              <w:rPr>
                <w:szCs w:val="22"/>
                <w:highlight w:val="yellow"/>
              </w:rPr>
            </w:pPr>
            <w:r>
              <w:rPr>
                <w:rFonts w:hint="default" w:ascii="Times New Roman" w:hAnsi="Times New Roman" w:eastAsia="等线" w:cs="Times New Roman"/>
                <w:i w:val="0"/>
                <w:iCs w:val="0"/>
                <w:color w:val="000000"/>
                <w:kern w:val="0"/>
                <w:sz w:val="21"/>
                <w:szCs w:val="21"/>
                <w:u w:val="none"/>
                <w:lang w:val="en-US" w:eastAsia="zh-CN" w:bidi="ar"/>
              </w:rPr>
              <w:t>11.72%</w:t>
            </w:r>
          </w:p>
        </w:tc>
      </w:tr>
      <w:tr w14:paraId="49F957ED">
        <w:tblPrEx>
          <w:tblCellMar>
            <w:top w:w="0" w:type="dxa"/>
            <w:left w:w="108" w:type="dxa"/>
            <w:bottom w:w="0" w:type="dxa"/>
            <w:right w:w="108" w:type="dxa"/>
          </w:tblCellMar>
        </w:tblPrEx>
        <w:trPr>
          <w:trHeight w:val="397" w:hRule="atLeast"/>
          <w:jc w:val="center"/>
        </w:trPr>
        <w:tc>
          <w:tcPr>
            <w:tcW w:w="1885" w:type="dxa"/>
            <w:tcBorders>
              <w:top w:val="single" w:color="auto" w:sz="4" w:space="0"/>
              <w:left w:val="single" w:color="auto" w:sz="4" w:space="0"/>
              <w:bottom w:val="single" w:color="auto" w:sz="4" w:space="0"/>
              <w:right w:val="single" w:color="auto" w:sz="4" w:space="0"/>
            </w:tcBorders>
            <w:noWrap w:val="0"/>
            <w:vAlign w:val="center"/>
          </w:tcPr>
          <w:p w14:paraId="5971459A">
            <w:pPr>
              <w:widowControl/>
              <w:ind w:firstLine="315" w:firstLineChars="150"/>
              <w:rPr>
                <w:rFonts w:ascii="宋体" w:hAnsi="宋体" w:cs="宋体"/>
                <w:color w:val="000000"/>
                <w:kern w:val="0"/>
                <w:szCs w:val="21"/>
              </w:rPr>
            </w:pPr>
            <w:r>
              <w:rPr>
                <w:rFonts w:hint="eastAsia" w:ascii="宋体" w:hAnsi="宋体" w:cs="宋体"/>
                <w:color w:val="000000"/>
                <w:kern w:val="0"/>
                <w:szCs w:val="21"/>
              </w:rPr>
              <w:t>首发前限售股</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0A093C8">
            <w:pPr>
              <w:keepNext w:val="0"/>
              <w:keepLines w:val="0"/>
              <w:widowControl/>
              <w:suppressLineNumbers w:val="0"/>
              <w:jc w:val="right"/>
              <w:textAlignment w:val="center"/>
              <w:rPr>
                <w:szCs w:val="22"/>
              </w:rPr>
            </w:pPr>
            <w:r>
              <w:rPr>
                <w:rFonts w:hint="default" w:ascii="Times New Roman" w:hAnsi="Times New Roman" w:eastAsia="等线" w:cs="Times New Roman"/>
                <w:i w:val="0"/>
                <w:iCs w:val="0"/>
                <w:color w:val="000000"/>
                <w:kern w:val="0"/>
                <w:sz w:val="21"/>
                <w:szCs w:val="21"/>
                <w:u w:val="none"/>
                <w:lang w:val="en-US" w:eastAsia="zh-CN" w:bidi="ar"/>
              </w:rPr>
              <w:t>864,000</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11A360C5">
            <w:pPr>
              <w:keepNext w:val="0"/>
              <w:keepLines w:val="0"/>
              <w:widowControl/>
              <w:suppressLineNumbers w:val="0"/>
              <w:jc w:val="right"/>
              <w:textAlignment w:val="center"/>
              <w:rPr>
                <w:rFonts w:hint="eastAsia"/>
                <w:color w:val="000000"/>
                <w:kern w:val="0"/>
                <w:szCs w:val="21"/>
                <w:lang w:bidi="ar"/>
              </w:rPr>
            </w:pPr>
            <w:r>
              <w:rPr>
                <w:rFonts w:hint="default" w:ascii="Times New Roman" w:hAnsi="Times New Roman" w:eastAsia="等线" w:cs="Times New Roman"/>
                <w:i w:val="0"/>
                <w:iCs w:val="0"/>
                <w:color w:val="000000"/>
                <w:kern w:val="0"/>
                <w:sz w:val="21"/>
                <w:szCs w:val="21"/>
                <w:u w:val="none"/>
                <w:lang w:val="en-US" w:eastAsia="zh-CN" w:bidi="ar"/>
              </w:rPr>
              <w:t>0.09%</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93D5581">
            <w:pPr>
              <w:keepNext w:val="0"/>
              <w:keepLines w:val="0"/>
              <w:widowControl/>
              <w:suppressLineNumbers w:val="0"/>
              <w:jc w:val="right"/>
              <w:textAlignment w:val="center"/>
              <w:rPr>
                <w:szCs w:val="22"/>
              </w:rPr>
            </w:pPr>
            <w:r>
              <w:rPr>
                <w:rFonts w:hint="default" w:ascii="Times New Roman" w:hAnsi="Times New Roman" w:eastAsia="等线" w:cs="Times New Roman"/>
                <w:i w:val="0"/>
                <w:iCs w:val="0"/>
                <w:color w:val="000000"/>
                <w:kern w:val="0"/>
                <w:sz w:val="21"/>
                <w:szCs w:val="21"/>
                <w:u w:val="none"/>
                <w:lang w:val="en-US" w:eastAsia="zh-CN" w:bidi="ar"/>
              </w:rPr>
              <w:t>　</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DE9004F">
            <w:pPr>
              <w:keepNext w:val="0"/>
              <w:keepLines w:val="0"/>
              <w:widowControl/>
              <w:suppressLineNumbers w:val="0"/>
              <w:jc w:val="right"/>
              <w:textAlignment w:val="center"/>
              <w:rPr>
                <w:rFonts w:hint="eastAsia"/>
                <w:color w:val="000000"/>
                <w:kern w:val="0"/>
                <w:szCs w:val="21"/>
                <w:lang w:bidi="ar"/>
              </w:rPr>
            </w:pPr>
            <w:r>
              <w:rPr>
                <w:rFonts w:hint="default" w:ascii="Times New Roman" w:hAnsi="Times New Roman" w:eastAsia="等线" w:cs="Times New Roman"/>
                <w:i w:val="0"/>
                <w:iCs w:val="0"/>
                <w:color w:val="000000"/>
                <w:kern w:val="0"/>
                <w:sz w:val="21"/>
                <w:szCs w:val="21"/>
                <w:u w:val="none"/>
                <w:lang w:val="en-US" w:eastAsia="zh-CN" w:bidi="ar"/>
              </w:rPr>
              <w:t>864,000</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7932FE0F">
            <w:pPr>
              <w:keepNext w:val="0"/>
              <w:keepLines w:val="0"/>
              <w:widowControl/>
              <w:suppressLineNumbers w:val="0"/>
              <w:jc w:val="right"/>
              <w:textAlignment w:val="center"/>
              <w:rPr>
                <w:szCs w:val="22"/>
              </w:rPr>
            </w:pPr>
            <w:r>
              <w:rPr>
                <w:rFonts w:hint="default" w:ascii="Times New Roman" w:hAnsi="Times New Roman" w:eastAsia="等线" w:cs="Times New Roman"/>
                <w:i w:val="0"/>
                <w:iCs w:val="0"/>
                <w:color w:val="000000"/>
                <w:kern w:val="0"/>
                <w:sz w:val="21"/>
                <w:szCs w:val="21"/>
                <w:u w:val="none"/>
                <w:lang w:val="en-US" w:eastAsia="zh-CN" w:bidi="ar"/>
              </w:rPr>
              <w:t>0.09%</w:t>
            </w:r>
          </w:p>
        </w:tc>
      </w:tr>
      <w:tr w14:paraId="164F3487">
        <w:tblPrEx>
          <w:tblCellMar>
            <w:top w:w="0" w:type="dxa"/>
            <w:left w:w="108" w:type="dxa"/>
            <w:bottom w:w="0" w:type="dxa"/>
            <w:right w:w="108" w:type="dxa"/>
          </w:tblCellMar>
        </w:tblPrEx>
        <w:trPr>
          <w:trHeight w:val="397" w:hRule="atLeast"/>
          <w:jc w:val="center"/>
        </w:trPr>
        <w:tc>
          <w:tcPr>
            <w:tcW w:w="1885" w:type="dxa"/>
            <w:tcBorders>
              <w:top w:val="single" w:color="auto" w:sz="4" w:space="0"/>
              <w:left w:val="single" w:color="auto" w:sz="4" w:space="0"/>
              <w:bottom w:val="single" w:color="auto" w:sz="4" w:space="0"/>
              <w:right w:val="single" w:color="auto" w:sz="4" w:space="0"/>
            </w:tcBorders>
            <w:noWrap w:val="0"/>
            <w:vAlign w:val="center"/>
          </w:tcPr>
          <w:p w14:paraId="60A132AB">
            <w:pPr>
              <w:widowControl/>
              <w:jc w:val="left"/>
              <w:rPr>
                <w:rFonts w:ascii="宋体" w:hAnsi="宋体" w:cs="宋体"/>
                <w:color w:val="000000"/>
                <w:kern w:val="0"/>
                <w:szCs w:val="21"/>
              </w:rPr>
            </w:pPr>
            <w:r>
              <w:rPr>
                <w:rFonts w:hint="eastAsia" w:ascii="宋体" w:hAnsi="宋体" w:cs="宋体"/>
                <w:color w:val="000000"/>
                <w:kern w:val="0"/>
                <w:szCs w:val="21"/>
              </w:rPr>
              <w:t>二、无限售条件流通股</w:t>
            </w:r>
          </w:p>
        </w:tc>
        <w:tc>
          <w:tcPr>
            <w:tcW w:w="1266" w:type="dxa"/>
            <w:tcBorders>
              <w:top w:val="single" w:color="auto" w:sz="4" w:space="0"/>
              <w:left w:val="single" w:color="auto" w:sz="4" w:space="0"/>
              <w:bottom w:val="single" w:color="auto" w:sz="4" w:space="0"/>
              <w:right w:val="single" w:color="auto" w:sz="4" w:space="0"/>
            </w:tcBorders>
            <w:noWrap/>
            <w:vAlign w:val="center"/>
          </w:tcPr>
          <w:p w14:paraId="0835A6B2">
            <w:pPr>
              <w:keepNext w:val="0"/>
              <w:keepLines w:val="0"/>
              <w:widowControl/>
              <w:suppressLineNumbers w:val="0"/>
              <w:jc w:val="right"/>
              <w:textAlignment w:val="center"/>
              <w:rPr>
                <w:szCs w:val="22"/>
              </w:rPr>
            </w:pPr>
            <w:r>
              <w:rPr>
                <w:rFonts w:hint="default" w:ascii="Times New Roman" w:hAnsi="Times New Roman" w:eastAsia="等线" w:cs="Times New Roman"/>
                <w:i w:val="0"/>
                <w:iCs w:val="0"/>
                <w:color w:val="000000"/>
                <w:kern w:val="0"/>
                <w:sz w:val="21"/>
                <w:szCs w:val="21"/>
                <w:u w:val="none"/>
                <w:lang w:val="en-US" w:eastAsia="zh-CN" w:bidi="ar"/>
              </w:rPr>
              <w:t>790,341,781</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9055F01">
            <w:pPr>
              <w:keepNext w:val="0"/>
              <w:keepLines w:val="0"/>
              <w:widowControl/>
              <w:suppressLineNumbers w:val="0"/>
              <w:jc w:val="right"/>
              <w:textAlignment w:val="center"/>
              <w:rPr>
                <w:rFonts w:hint="eastAsia"/>
                <w:color w:val="000000"/>
                <w:kern w:val="0"/>
                <w:szCs w:val="21"/>
                <w:lang w:bidi="ar"/>
              </w:rPr>
            </w:pPr>
            <w:r>
              <w:rPr>
                <w:rFonts w:hint="default" w:ascii="Times New Roman" w:hAnsi="Times New Roman" w:eastAsia="等线" w:cs="Times New Roman"/>
                <w:i w:val="0"/>
                <w:iCs w:val="0"/>
                <w:color w:val="000000"/>
                <w:kern w:val="0"/>
                <w:sz w:val="21"/>
                <w:szCs w:val="21"/>
                <w:u w:val="none"/>
                <w:lang w:val="en-US" w:eastAsia="zh-CN" w:bidi="ar"/>
              </w:rPr>
              <w:t>83.60%</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6FB5CD6">
            <w:pPr>
              <w:keepNext w:val="0"/>
              <w:keepLines w:val="0"/>
              <w:widowControl/>
              <w:suppressLineNumbers w:val="0"/>
              <w:jc w:val="right"/>
              <w:textAlignment w:val="center"/>
              <w:rPr>
                <w:szCs w:val="22"/>
              </w:rPr>
            </w:pPr>
            <w:r>
              <w:rPr>
                <w:rFonts w:hint="default" w:ascii="Times New Roman" w:hAnsi="Times New Roman" w:eastAsia="等线" w:cs="Times New Roman"/>
                <w:i w:val="0"/>
                <w:iCs w:val="0"/>
                <w:color w:val="000000"/>
                <w:kern w:val="0"/>
                <w:sz w:val="21"/>
                <w:szCs w:val="21"/>
                <w:u w:val="none"/>
                <w:lang w:val="en-US" w:eastAsia="zh-CN" w:bidi="ar"/>
              </w:rPr>
              <w:t>　</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C8E1D2B">
            <w:pPr>
              <w:keepNext w:val="0"/>
              <w:keepLines w:val="0"/>
              <w:widowControl/>
              <w:suppressLineNumbers w:val="0"/>
              <w:jc w:val="right"/>
              <w:textAlignment w:val="center"/>
              <w:rPr>
                <w:rFonts w:hint="eastAsia"/>
                <w:color w:val="000000"/>
                <w:kern w:val="0"/>
                <w:szCs w:val="21"/>
                <w:lang w:bidi="ar"/>
              </w:rPr>
            </w:pPr>
            <w:r>
              <w:rPr>
                <w:rFonts w:hint="default" w:ascii="Times New Roman" w:hAnsi="Times New Roman" w:eastAsia="等线" w:cs="Times New Roman"/>
                <w:i w:val="0"/>
                <w:iCs w:val="0"/>
                <w:color w:val="000000"/>
                <w:kern w:val="0"/>
                <w:sz w:val="21"/>
                <w:szCs w:val="21"/>
                <w:u w:val="none"/>
                <w:lang w:val="en-US" w:eastAsia="zh-CN" w:bidi="ar"/>
              </w:rPr>
              <w:t>833,734,840</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22F169F5">
            <w:pPr>
              <w:keepNext w:val="0"/>
              <w:keepLines w:val="0"/>
              <w:widowControl/>
              <w:suppressLineNumbers w:val="0"/>
              <w:jc w:val="right"/>
              <w:textAlignment w:val="center"/>
              <w:rPr>
                <w:szCs w:val="22"/>
              </w:rPr>
            </w:pPr>
            <w:r>
              <w:rPr>
                <w:rFonts w:hint="default" w:ascii="Times New Roman" w:hAnsi="Times New Roman" w:eastAsia="等线" w:cs="Times New Roman"/>
                <w:i w:val="0"/>
                <w:iCs w:val="0"/>
                <w:color w:val="000000"/>
                <w:kern w:val="0"/>
                <w:sz w:val="21"/>
                <w:szCs w:val="21"/>
                <w:u w:val="none"/>
                <w:lang w:val="en-US" w:eastAsia="zh-CN" w:bidi="ar"/>
              </w:rPr>
              <w:t>88.19%</w:t>
            </w:r>
          </w:p>
        </w:tc>
      </w:tr>
      <w:tr w14:paraId="67146396">
        <w:tblPrEx>
          <w:tblCellMar>
            <w:top w:w="0" w:type="dxa"/>
            <w:left w:w="108" w:type="dxa"/>
            <w:bottom w:w="0" w:type="dxa"/>
            <w:right w:w="108" w:type="dxa"/>
          </w:tblCellMar>
        </w:tblPrEx>
        <w:trPr>
          <w:trHeight w:val="397" w:hRule="atLeast"/>
          <w:jc w:val="center"/>
        </w:trPr>
        <w:tc>
          <w:tcPr>
            <w:tcW w:w="1885" w:type="dxa"/>
            <w:tcBorders>
              <w:top w:val="single" w:color="auto" w:sz="4" w:space="0"/>
              <w:left w:val="single" w:color="auto" w:sz="4" w:space="0"/>
              <w:bottom w:val="single" w:color="auto" w:sz="4" w:space="0"/>
              <w:right w:val="single" w:color="auto" w:sz="4" w:space="0"/>
            </w:tcBorders>
            <w:noWrap w:val="0"/>
            <w:vAlign w:val="center"/>
          </w:tcPr>
          <w:p w14:paraId="2EE873B7">
            <w:pPr>
              <w:widowControl/>
              <w:rPr>
                <w:rFonts w:ascii="宋体" w:hAnsi="宋体" w:cs="宋体"/>
                <w:color w:val="000000"/>
                <w:kern w:val="0"/>
                <w:szCs w:val="21"/>
              </w:rPr>
            </w:pPr>
            <w:r>
              <w:rPr>
                <w:rFonts w:hint="eastAsia" w:ascii="宋体" w:hAnsi="宋体" w:cs="宋体"/>
                <w:color w:val="000000"/>
                <w:kern w:val="0"/>
                <w:szCs w:val="21"/>
              </w:rPr>
              <w:t>三、总股本</w:t>
            </w:r>
          </w:p>
        </w:tc>
        <w:tc>
          <w:tcPr>
            <w:tcW w:w="1266" w:type="dxa"/>
            <w:tcBorders>
              <w:top w:val="single" w:color="auto" w:sz="4" w:space="0"/>
              <w:left w:val="single" w:color="auto" w:sz="4" w:space="0"/>
              <w:bottom w:val="single" w:color="auto" w:sz="4" w:space="0"/>
              <w:right w:val="single" w:color="auto" w:sz="4" w:space="0"/>
            </w:tcBorders>
            <w:noWrap/>
            <w:vAlign w:val="center"/>
          </w:tcPr>
          <w:p w14:paraId="61AD3249">
            <w:pPr>
              <w:keepNext w:val="0"/>
              <w:keepLines w:val="0"/>
              <w:widowControl/>
              <w:suppressLineNumbers w:val="0"/>
              <w:jc w:val="right"/>
              <w:textAlignment w:val="center"/>
              <w:rPr>
                <w:szCs w:val="22"/>
              </w:rPr>
            </w:pPr>
            <w:r>
              <w:rPr>
                <w:rFonts w:hint="default" w:ascii="Times New Roman" w:hAnsi="Times New Roman" w:eastAsia="等线" w:cs="Times New Roman"/>
                <w:i w:val="0"/>
                <w:iCs w:val="0"/>
                <w:color w:val="000000"/>
                <w:kern w:val="0"/>
                <w:sz w:val="21"/>
                <w:szCs w:val="21"/>
                <w:u w:val="none"/>
                <w:lang w:val="en-US" w:eastAsia="zh-CN" w:bidi="ar"/>
              </w:rPr>
              <w:t>945,425,815</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F67A847">
            <w:pPr>
              <w:keepNext w:val="0"/>
              <w:keepLines w:val="0"/>
              <w:widowControl/>
              <w:suppressLineNumbers w:val="0"/>
              <w:jc w:val="right"/>
              <w:textAlignment w:val="center"/>
              <w:rPr>
                <w:szCs w:val="22"/>
              </w:rPr>
            </w:pPr>
            <w:r>
              <w:rPr>
                <w:rFonts w:hint="default" w:ascii="Times New Roman" w:hAnsi="Times New Roman" w:eastAsia="等线" w:cs="Times New Roman"/>
                <w:i w:val="0"/>
                <w:iCs w:val="0"/>
                <w:color w:val="000000"/>
                <w:kern w:val="0"/>
                <w:sz w:val="21"/>
                <w:szCs w:val="21"/>
                <w:u w:val="none"/>
                <w:lang w:val="en-US" w:eastAsia="zh-CN" w:bidi="ar"/>
              </w:rPr>
              <w:t>100.00%</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677D743">
            <w:pPr>
              <w:keepNext w:val="0"/>
              <w:keepLines w:val="0"/>
              <w:widowControl/>
              <w:suppressLineNumbers w:val="0"/>
              <w:jc w:val="right"/>
              <w:textAlignment w:val="center"/>
              <w:rPr>
                <w:szCs w:val="22"/>
              </w:rPr>
            </w:pPr>
            <w:r>
              <w:rPr>
                <w:rFonts w:hint="default" w:ascii="Times New Roman" w:hAnsi="Times New Roman" w:eastAsia="等线" w:cs="Times New Roman"/>
                <w:i w:val="0"/>
                <w:iCs w:val="0"/>
                <w:color w:val="000000"/>
                <w:kern w:val="0"/>
                <w:sz w:val="21"/>
                <w:szCs w:val="21"/>
                <w:u w:val="none"/>
                <w:lang w:val="en-US" w:eastAsia="zh-CN" w:bidi="ar"/>
              </w:rPr>
              <w:t>　</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87B09C2">
            <w:pPr>
              <w:keepNext w:val="0"/>
              <w:keepLines w:val="0"/>
              <w:widowControl/>
              <w:suppressLineNumbers w:val="0"/>
              <w:jc w:val="right"/>
              <w:textAlignment w:val="center"/>
              <w:rPr>
                <w:szCs w:val="22"/>
              </w:rPr>
            </w:pPr>
            <w:r>
              <w:rPr>
                <w:rFonts w:hint="default" w:ascii="Times New Roman" w:hAnsi="Times New Roman" w:eastAsia="等线" w:cs="Times New Roman"/>
                <w:i w:val="0"/>
                <w:iCs w:val="0"/>
                <w:color w:val="000000"/>
                <w:kern w:val="0"/>
                <w:sz w:val="21"/>
                <w:szCs w:val="21"/>
                <w:u w:val="none"/>
                <w:lang w:val="en-US" w:eastAsia="zh-CN" w:bidi="ar"/>
              </w:rPr>
              <w:t>945,425,815</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29DCC851">
            <w:pPr>
              <w:keepNext w:val="0"/>
              <w:keepLines w:val="0"/>
              <w:widowControl/>
              <w:suppressLineNumbers w:val="0"/>
              <w:jc w:val="right"/>
              <w:textAlignment w:val="center"/>
              <w:rPr>
                <w:szCs w:val="22"/>
              </w:rPr>
            </w:pPr>
            <w:r>
              <w:rPr>
                <w:rFonts w:hint="default" w:ascii="Times New Roman" w:hAnsi="Times New Roman" w:eastAsia="等线" w:cs="Times New Roman"/>
                <w:i w:val="0"/>
                <w:iCs w:val="0"/>
                <w:color w:val="000000"/>
                <w:kern w:val="0"/>
                <w:sz w:val="21"/>
                <w:szCs w:val="21"/>
                <w:u w:val="none"/>
                <w:lang w:val="en-US" w:eastAsia="zh-CN" w:bidi="ar"/>
              </w:rPr>
              <w:t>100.00%</w:t>
            </w:r>
          </w:p>
        </w:tc>
      </w:tr>
    </w:tbl>
    <w:p w14:paraId="4076025F">
      <w:pPr>
        <w:adjustRightInd w:val="0"/>
        <w:snapToGrid w:val="0"/>
        <w:spacing w:line="360" w:lineRule="auto"/>
        <w:ind w:firstLine="482" w:firstLineChars="200"/>
        <w:rPr>
          <w:b/>
          <w:sz w:val="24"/>
          <w:szCs w:val="24"/>
        </w:rPr>
      </w:pPr>
      <w:r>
        <w:rPr>
          <w:rFonts w:hint="eastAsia"/>
          <w:b/>
          <w:sz w:val="24"/>
          <w:szCs w:val="24"/>
        </w:rPr>
        <w:t>五、</w:t>
      </w:r>
      <w:r>
        <w:rPr>
          <w:rFonts w:hint="eastAsia"/>
          <w:b/>
          <w:sz w:val="24"/>
          <w:szCs w:val="24"/>
          <w:lang w:val="en-US" w:eastAsia="zh-CN"/>
        </w:rPr>
        <w:t>独立</w:t>
      </w:r>
      <w:r>
        <w:rPr>
          <w:rFonts w:hint="eastAsia"/>
          <w:b/>
          <w:sz w:val="24"/>
          <w:szCs w:val="24"/>
        </w:rPr>
        <w:t>财务顾问核查意见</w:t>
      </w:r>
    </w:p>
    <w:p w14:paraId="40139373">
      <w:pPr>
        <w:adjustRightInd w:val="0"/>
        <w:snapToGrid w:val="0"/>
        <w:spacing w:line="360" w:lineRule="auto"/>
        <w:ind w:firstLine="480" w:firstLineChars="200"/>
        <w:rPr>
          <w:rFonts w:hint="eastAsia"/>
          <w:sz w:val="24"/>
          <w:szCs w:val="24"/>
        </w:rPr>
      </w:pPr>
      <w:r>
        <w:rPr>
          <w:rFonts w:hint="eastAsia"/>
          <w:sz w:val="24"/>
          <w:szCs w:val="24"/>
        </w:rPr>
        <w:t>经核查，独立财务顾问认为：</w:t>
      </w:r>
    </w:p>
    <w:p w14:paraId="7C20AE24">
      <w:pPr>
        <w:adjustRightInd w:val="0"/>
        <w:snapToGrid w:val="0"/>
        <w:spacing w:line="360" w:lineRule="auto"/>
        <w:ind w:firstLine="480" w:firstLineChars="200"/>
        <w:outlineLvl w:val="0"/>
        <w:rPr>
          <w:rFonts w:hint="eastAsia"/>
          <w:b/>
          <w:color w:val="auto"/>
          <w:sz w:val="24"/>
          <w:szCs w:val="24"/>
          <w:highlight w:val="none"/>
        </w:rPr>
      </w:pPr>
      <w:r>
        <w:rPr>
          <w:rFonts w:hint="eastAsia"/>
          <w:color w:val="auto"/>
          <w:sz w:val="24"/>
          <w:szCs w:val="24"/>
          <w:highlight w:val="none"/>
        </w:rPr>
        <w:t>本次上市公司申请部分限售股解除限售符合《中华人民共和国公司法》《上市公司重大资产重组管理办法》《深圳证券交易所股票上市规则》等相关法律、法规和规章的要求，本独立财务顾问对中广核技本次限售股份解除限售事项无异议。</w:t>
      </w:r>
    </w:p>
    <w:p w14:paraId="2799E68D">
      <w:pPr>
        <w:adjustRightInd w:val="0"/>
        <w:snapToGrid w:val="0"/>
        <w:spacing w:line="360" w:lineRule="auto"/>
        <w:ind w:firstLine="482" w:firstLineChars="200"/>
        <w:outlineLvl w:val="0"/>
        <w:rPr>
          <w:rFonts w:hint="eastAsia"/>
          <w:b/>
          <w:color w:val="000000"/>
          <w:sz w:val="24"/>
          <w:szCs w:val="24"/>
        </w:rPr>
      </w:pPr>
      <w:r>
        <w:rPr>
          <w:rFonts w:hint="eastAsia"/>
          <w:b/>
          <w:color w:val="000000"/>
          <w:sz w:val="24"/>
          <w:szCs w:val="24"/>
        </w:rPr>
        <w:t>六、备查文件</w:t>
      </w:r>
    </w:p>
    <w:p w14:paraId="6178E0A1">
      <w:pPr>
        <w:adjustRightInd w:val="0"/>
        <w:snapToGrid w:val="0"/>
        <w:spacing w:line="360" w:lineRule="auto"/>
        <w:ind w:firstLine="480" w:firstLineChars="200"/>
        <w:rPr>
          <w:rFonts w:hint="eastAsia"/>
          <w:sz w:val="24"/>
          <w:szCs w:val="24"/>
        </w:rPr>
      </w:pPr>
      <w:r>
        <w:rPr>
          <w:rFonts w:hint="eastAsia"/>
          <w:sz w:val="24"/>
          <w:szCs w:val="24"/>
        </w:rPr>
        <w:t>1</w:t>
      </w:r>
      <w:r>
        <w:rPr>
          <w:rFonts w:hint="eastAsia"/>
          <w:sz w:val="24"/>
          <w:szCs w:val="24"/>
          <w:lang w:val="en-US" w:eastAsia="zh-CN"/>
        </w:rPr>
        <w:t>.</w:t>
      </w:r>
      <w:r>
        <w:rPr>
          <w:rFonts w:hint="eastAsia"/>
          <w:sz w:val="24"/>
          <w:szCs w:val="24"/>
        </w:rPr>
        <w:t>限售股份解除限售申请表；</w:t>
      </w:r>
    </w:p>
    <w:p w14:paraId="0798C38C">
      <w:pPr>
        <w:adjustRightInd w:val="0"/>
        <w:snapToGrid w:val="0"/>
        <w:spacing w:line="360" w:lineRule="auto"/>
        <w:ind w:firstLine="480" w:firstLineChars="200"/>
        <w:rPr>
          <w:rFonts w:hint="eastAsia"/>
          <w:sz w:val="24"/>
          <w:szCs w:val="24"/>
        </w:rPr>
      </w:pPr>
      <w:r>
        <w:rPr>
          <w:rFonts w:hint="eastAsia"/>
          <w:sz w:val="24"/>
          <w:szCs w:val="24"/>
        </w:rPr>
        <w:t>2</w:t>
      </w:r>
      <w:r>
        <w:rPr>
          <w:rFonts w:hint="eastAsia"/>
          <w:sz w:val="24"/>
          <w:szCs w:val="24"/>
          <w:lang w:val="en-US" w:eastAsia="zh-CN"/>
        </w:rPr>
        <w:t>.</w:t>
      </w:r>
      <w:r>
        <w:rPr>
          <w:rFonts w:hint="eastAsia"/>
          <w:sz w:val="24"/>
          <w:szCs w:val="24"/>
        </w:rPr>
        <w:t>股份结构表和限售股份明细表；</w:t>
      </w:r>
    </w:p>
    <w:p w14:paraId="155B1DFC">
      <w:pPr>
        <w:adjustRightInd w:val="0"/>
        <w:snapToGrid w:val="0"/>
        <w:spacing w:line="360" w:lineRule="auto"/>
        <w:ind w:firstLine="480" w:firstLineChars="200"/>
        <w:rPr>
          <w:rFonts w:hint="eastAsia" w:eastAsia="宋体"/>
          <w:sz w:val="24"/>
          <w:szCs w:val="24"/>
          <w:lang w:val="en-US" w:eastAsia="zh-CN"/>
        </w:rPr>
      </w:pPr>
      <w:r>
        <w:rPr>
          <w:rFonts w:hint="eastAsia"/>
          <w:sz w:val="24"/>
          <w:szCs w:val="24"/>
          <w:lang w:val="en-US" w:eastAsia="zh-CN"/>
        </w:rPr>
        <w:t>3.中德证券有限责任公司关于公司发行股份购买资产并募集配套资金暨关联交易之部分限售股解禁的核查意见。</w:t>
      </w:r>
    </w:p>
    <w:p w14:paraId="387EEA3B">
      <w:pPr>
        <w:adjustRightInd w:val="0"/>
        <w:snapToGrid w:val="0"/>
        <w:spacing w:line="360" w:lineRule="auto"/>
        <w:ind w:firstLine="480" w:firstLineChars="200"/>
        <w:rPr>
          <w:rFonts w:hint="eastAsia"/>
          <w:sz w:val="24"/>
          <w:szCs w:val="24"/>
        </w:rPr>
      </w:pPr>
      <w:r>
        <w:rPr>
          <w:rFonts w:hint="eastAsia"/>
          <w:sz w:val="24"/>
          <w:szCs w:val="24"/>
        </w:rPr>
        <w:t>特此公告。</w:t>
      </w:r>
    </w:p>
    <w:p w14:paraId="06724D8C">
      <w:pPr>
        <w:adjustRightInd w:val="0"/>
        <w:snapToGrid w:val="0"/>
        <w:spacing w:line="360" w:lineRule="auto"/>
        <w:ind w:firstLine="480" w:firstLineChars="200"/>
        <w:rPr>
          <w:rFonts w:hint="eastAsia"/>
          <w:sz w:val="24"/>
          <w:szCs w:val="24"/>
        </w:rPr>
      </w:pPr>
    </w:p>
    <w:p w14:paraId="07CC1F06">
      <w:pPr>
        <w:adjustRightInd w:val="0"/>
        <w:snapToGrid w:val="0"/>
        <w:spacing w:line="360" w:lineRule="auto"/>
        <w:ind w:firstLine="480" w:firstLineChars="200"/>
        <w:rPr>
          <w:rFonts w:hint="eastAsia"/>
          <w:sz w:val="24"/>
          <w:szCs w:val="24"/>
        </w:rPr>
      </w:pPr>
    </w:p>
    <w:p w14:paraId="30E2F3B4">
      <w:pPr>
        <w:snapToGrid w:val="0"/>
        <w:spacing w:line="360" w:lineRule="auto"/>
        <w:ind w:firstLine="482" w:firstLineChars="200"/>
        <w:jc w:val="right"/>
        <w:rPr>
          <w:rFonts w:hint="eastAsia"/>
          <w:b/>
          <w:sz w:val="24"/>
          <w:szCs w:val="24"/>
        </w:rPr>
      </w:pPr>
    </w:p>
    <w:p w14:paraId="47AD253C">
      <w:pPr>
        <w:snapToGrid w:val="0"/>
        <w:spacing w:line="360" w:lineRule="auto"/>
        <w:ind w:firstLine="482" w:firstLineChars="200"/>
        <w:jc w:val="right"/>
        <w:rPr>
          <w:rFonts w:hint="eastAsia"/>
          <w:b/>
          <w:sz w:val="24"/>
          <w:szCs w:val="24"/>
        </w:rPr>
      </w:pPr>
      <w:r>
        <w:rPr>
          <w:rFonts w:hint="eastAsia"/>
          <w:b/>
          <w:sz w:val="24"/>
          <w:szCs w:val="24"/>
        </w:rPr>
        <w:t>中广核核技术发展股份有限公司</w:t>
      </w:r>
    </w:p>
    <w:p w14:paraId="03A2609A">
      <w:pPr>
        <w:snapToGrid w:val="0"/>
        <w:spacing w:line="360" w:lineRule="auto"/>
        <w:ind w:firstLine="482" w:firstLineChars="200"/>
        <w:jc w:val="right"/>
        <w:rPr>
          <w:rFonts w:hint="eastAsia"/>
          <w:b/>
          <w:sz w:val="24"/>
          <w:szCs w:val="24"/>
        </w:rPr>
      </w:pPr>
      <w:r>
        <w:rPr>
          <w:rFonts w:hint="eastAsia"/>
          <w:b/>
          <w:sz w:val="24"/>
          <w:szCs w:val="24"/>
        </w:rPr>
        <w:t>董事会</w:t>
      </w:r>
    </w:p>
    <w:p w14:paraId="4D260995">
      <w:pPr>
        <w:snapToGrid w:val="0"/>
        <w:spacing w:line="360" w:lineRule="auto"/>
        <w:ind w:firstLine="482" w:firstLineChars="200"/>
        <w:jc w:val="right"/>
        <w:rPr>
          <w:rFonts w:hint="eastAsia"/>
          <w:color w:val="auto"/>
          <w:sz w:val="24"/>
          <w:szCs w:val="24"/>
          <w:highlight w:val="none"/>
        </w:rPr>
      </w:pPr>
      <w:r>
        <w:rPr>
          <w:rFonts w:hint="eastAsia"/>
          <w:b/>
          <w:color w:val="auto"/>
          <w:sz w:val="24"/>
          <w:szCs w:val="24"/>
          <w:highlight w:val="none"/>
        </w:rPr>
        <w:t>202</w:t>
      </w:r>
      <w:r>
        <w:rPr>
          <w:rFonts w:hint="eastAsia"/>
          <w:b/>
          <w:color w:val="auto"/>
          <w:sz w:val="24"/>
          <w:szCs w:val="24"/>
          <w:highlight w:val="none"/>
          <w:lang w:val="en-US" w:eastAsia="zh-CN"/>
        </w:rPr>
        <w:t>5</w:t>
      </w:r>
      <w:r>
        <w:rPr>
          <w:rFonts w:hint="eastAsia"/>
          <w:b/>
          <w:color w:val="auto"/>
          <w:sz w:val="24"/>
          <w:szCs w:val="24"/>
          <w:highlight w:val="none"/>
        </w:rPr>
        <w:t>年</w:t>
      </w:r>
      <w:r>
        <w:rPr>
          <w:rFonts w:hint="eastAsia"/>
          <w:b/>
          <w:color w:val="auto"/>
          <w:sz w:val="24"/>
          <w:szCs w:val="24"/>
          <w:highlight w:val="none"/>
          <w:lang w:val="en-US" w:eastAsia="zh-CN"/>
        </w:rPr>
        <w:t>6</w:t>
      </w:r>
      <w:r>
        <w:rPr>
          <w:rFonts w:hint="eastAsia"/>
          <w:b/>
          <w:color w:val="auto"/>
          <w:sz w:val="24"/>
          <w:szCs w:val="24"/>
          <w:highlight w:val="none"/>
        </w:rPr>
        <w:t>月</w:t>
      </w:r>
      <w:r>
        <w:rPr>
          <w:rFonts w:hint="eastAsia"/>
          <w:b/>
          <w:color w:val="auto"/>
          <w:sz w:val="24"/>
          <w:szCs w:val="24"/>
          <w:highlight w:val="none"/>
          <w:lang w:val="en-US" w:eastAsia="zh-CN"/>
        </w:rPr>
        <w:t>27</w:t>
      </w:r>
      <w:r>
        <w:rPr>
          <w:rFonts w:hint="eastAsia"/>
          <w:b/>
          <w:color w:val="auto"/>
          <w:sz w:val="24"/>
          <w:szCs w:val="24"/>
          <w:highlight w:val="none"/>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C0007"/>
    <w:multiLevelType w:val="singleLevel"/>
    <w:tmpl w:val="18CC0007"/>
    <w:lvl w:ilvl="0" w:tentative="0">
      <w:start w:val="6"/>
      <w:numFmt w:val="decimal"/>
      <w:pStyle w:val="23"/>
      <w:lvlText w:val="%1、"/>
      <w:legacy w:legacy="1" w:legacySpace="0" w:legacyIndent="465"/>
      <w:lvlJc w:val="left"/>
      <w:pPr>
        <w:ind w:left="1035" w:hanging="465"/>
      </w:pPr>
      <w:rPr>
        <w:rFonts w:hint="eastAsia" w:ascii="楷体_GB2312" w:eastAsia="楷体_GB2312"/>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5"/>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MDhiNGI0YmE3ODA0NTM1ZmE0YTM1N2UwNWU2NGEifQ=="/>
  </w:docVars>
  <w:rsids>
    <w:rsidRoot w:val="00172A27"/>
    <w:rsid w:val="00001B05"/>
    <w:rsid w:val="00001F37"/>
    <w:rsid w:val="00003433"/>
    <w:rsid w:val="00006111"/>
    <w:rsid w:val="00006252"/>
    <w:rsid w:val="00006642"/>
    <w:rsid w:val="0001160A"/>
    <w:rsid w:val="000117F1"/>
    <w:rsid w:val="00012F55"/>
    <w:rsid w:val="00013BAD"/>
    <w:rsid w:val="0001432E"/>
    <w:rsid w:val="00014478"/>
    <w:rsid w:val="00020FF4"/>
    <w:rsid w:val="000222BF"/>
    <w:rsid w:val="000222C4"/>
    <w:rsid w:val="000223D9"/>
    <w:rsid w:val="00022678"/>
    <w:rsid w:val="000252E3"/>
    <w:rsid w:val="00027656"/>
    <w:rsid w:val="00032084"/>
    <w:rsid w:val="00034B8E"/>
    <w:rsid w:val="00040745"/>
    <w:rsid w:val="000419AF"/>
    <w:rsid w:val="00044800"/>
    <w:rsid w:val="00045B28"/>
    <w:rsid w:val="00052A30"/>
    <w:rsid w:val="0005324B"/>
    <w:rsid w:val="000534B7"/>
    <w:rsid w:val="0005380D"/>
    <w:rsid w:val="00054DFE"/>
    <w:rsid w:val="0005529C"/>
    <w:rsid w:val="000552F7"/>
    <w:rsid w:val="000554BB"/>
    <w:rsid w:val="00055679"/>
    <w:rsid w:val="0005724A"/>
    <w:rsid w:val="000579AD"/>
    <w:rsid w:val="00062129"/>
    <w:rsid w:val="000625EC"/>
    <w:rsid w:val="00062E11"/>
    <w:rsid w:val="00063A9B"/>
    <w:rsid w:val="00063EC4"/>
    <w:rsid w:val="00063F7F"/>
    <w:rsid w:val="000645B1"/>
    <w:rsid w:val="00064887"/>
    <w:rsid w:val="0006546C"/>
    <w:rsid w:val="00070092"/>
    <w:rsid w:val="00071CE2"/>
    <w:rsid w:val="000734B2"/>
    <w:rsid w:val="000736D4"/>
    <w:rsid w:val="00073A6D"/>
    <w:rsid w:val="000754D0"/>
    <w:rsid w:val="00076C2D"/>
    <w:rsid w:val="00080D02"/>
    <w:rsid w:val="00081090"/>
    <w:rsid w:val="00081A66"/>
    <w:rsid w:val="000828BD"/>
    <w:rsid w:val="00082936"/>
    <w:rsid w:val="000868C9"/>
    <w:rsid w:val="00090342"/>
    <w:rsid w:val="00092F89"/>
    <w:rsid w:val="000933BE"/>
    <w:rsid w:val="00093C0D"/>
    <w:rsid w:val="00093D3F"/>
    <w:rsid w:val="000A68BD"/>
    <w:rsid w:val="000B22DD"/>
    <w:rsid w:val="000B3357"/>
    <w:rsid w:val="000B3495"/>
    <w:rsid w:val="000B5EC3"/>
    <w:rsid w:val="000C398E"/>
    <w:rsid w:val="000C5887"/>
    <w:rsid w:val="000C5E04"/>
    <w:rsid w:val="000C71E5"/>
    <w:rsid w:val="000C72FB"/>
    <w:rsid w:val="000D1032"/>
    <w:rsid w:val="000D3D05"/>
    <w:rsid w:val="000D576E"/>
    <w:rsid w:val="000D6F96"/>
    <w:rsid w:val="000D7118"/>
    <w:rsid w:val="000E03B2"/>
    <w:rsid w:val="000E4970"/>
    <w:rsid w:val="000E4DC9"/>
    <w:rsid w:val="000E4FF5"/>
    <w:rsid w:val="000E577C"/>
    <w:rsid w:val="000E6CD7"/>
    <w:rsid w:val="000F0B77"/>
    <w:rsid w:val="000F26C4"/>
    <w:rsid w:val="000F3FEE"/>
    <w:rsid w:val="000F4132"/>
    <w:rsid w:val="000F55F2"/>
    <w:rsid w:val="000F69B3"/>
    <w:rsid w:val="000F6D10"/>
    <w:rsid w:val="000F7775"/>
    <w:rsid w:val="00101550"/>
    <w:rsid w:val="0010244E"/>
    <w:rsid w:val="00106F54"/>
    <w:rsid w:val="00106F91"/>
    <w:rsid w:val="001077F4"/>
    <w:rsid w:val="001119E9"/>
    <w:rsid w:val="0011228F"/>
    <w:rsid w:val="00113D3C"/>
    <w:rsid w:val="00120AE3"/>
    <w:rsid w:val="00121480"/>
    <w:rsid w:val="00121892"/>
    <w:rsid w:val="00122815"/>
    <w:rsid w:val="00122928"/>
    <w:rsid w:val="00123286"/>
    <w:rsid w:val="00123294"/>
    <w:rsid w:val="001251EB"/>
    <w:rsid w:val="00127F6A"/>
    <w:rsid w:val="0013019C"/>
    <w:rsid w:val="00130517"/>
    <w:rsid w:val="0013103A"/>
    <w:rsid w:val="0013112A"/>
    <w:rsid w:val="0013167E"/>
    <w:rsid w:val="001318C3"/>
    <w:rsid w:val="00132C15"/>
    <w:rsid w:val="001330A5"/>
    <w:rsid w:val="00133D2D"/>
    <w:rsid w:val="00135105"/>
    <w:rsid w:val="0013696E"/>
    <w:rsid w:val="00136AC4"/>
    <w:rsid w:val="00140B6F"/>
    <w:rsid w:val="00141765"/>
    <w:rsid w:val="00142B07"/>
    <w:rsid w:val="00142DF0"/>
    <w:rsid w:val="00143646"/>
    <w:rsid w:val="00147D93"/>
    <w:rsid w:val="00150D93"/>
    <w:rsid w:val="00152F22"/>
    <w:rsid w:val="00155356"/>
    <w:rsid w:val="00155717"/>
    <w:rsid w:val="001612EE"/>
    <w:rsid w:val="001672F9"/>
    <w:rsid w:val="00170A21"/>
    <w:rsid w:val="001711B8"/>
    <w:rsid w:val="001735A0"/>
    <w:rsid w:val="00174E35"/>
    <w:rsid w:val="00175408"/>
    <w:rsid w:val="001758B5"/>
    <w:rsid w:val="00175CBF"/>
    <w:rsid w:val="001779E1"/>
    <w:rsid w:val="00180636"/>
    <w:rsid w:val="00182210"/>
    <w:rsid w:val="001840D3"/>
    <w:rsid w:val="001851C6"/>
    <w:rsid w:val="00185C3C"/>
    <w:rsid w:val="00186CD1"/>
    <w:rsid w:val="0018705C"/>
    <w:rsid w:val="00190AA3"/>
    <w:rsid w:val="001918B3"/>
    <w:rsid w:val="00191A44"/>
    <w:rsid w:val="0019389A"/>
    <w:rsid w:val="00193EE4"/>
    <w:rsid w:val="0019426B"/>
    <w:rsid w:val="001943AE"/>
    <w:rsid w:val="00196DD8"/>
    <w:rsid w:val="001A077E"/>
    <w:rsid w:val="001A26DE"/>
    <w:rsid w:val="001A27C9"/>
    <w:rsid w:val="001A6DBB"/>
    <w:rsid w:val="001A726D"/>
    <w:rsid w:val="001A734A"/>
    <w:rsid w:val="001A75E0"/>
    <w:rsid w:val="001B1368"/>
    <w:rsid w:val="001B4071"/>
    <w:rsid w:val="001B4ADD"/>
    <w:rsid w:val="001B7ED7"/>
    <w:rsid w:val="001C0A65"/>
    <w:rsid w:val="001C5403"/>
    <w:rsid w:val="001D1FD2"/>
    <w:rsid w:val="001D27C2"/>
    <w:rsid w:val="001D3241"/>
    <w:rsid w:val="001D4F4C"/>
    <w:rsid w:val="001D7325"/>
    <w:rsid w:val="001D7953"/>
    <w:rsid w:val="001E1800"/>
    <w:rsid w:val="001E1D35"/>
    <w:rsid w:val="001E504C"/>
    <w:rsid w:val="001E5811"/>
    <w:rsid w:val="001E6767"/>
    <w:rsid w:val="001F1297"/>
    <w:rsid w:val="001F5845"/>
    <w:rsid w:val="001F5D02"/>
    <w:rsid w:val="001F6AA1"/>
    <w:rsid w:val="001F6E32"/>
    <w:rsid w:val="001F7A38"/>
    <w:rsid w:val="00200618"/>
    <w:rsid w:val="00202B9A"/>
    <w:rsid w:val="00202BCE"/>
    <w:rsid w:val="00203CC6"/>
    <w:rsid w:val="002042D4"/>
    <w:rsid w:val="0021237C"/>
    <w:rsid w:val="00213050"/>
    <w:rsid w:val="00214E1D"/>
    <w:rsid w:val="0021591A"/>
    <w:rsid w:val="0022058F"/>
    <w:rsid w:val="002219F2"/>
    <w:rsid w:val="00223DAB"/>
    <w:rsid w:val="00223FEE"/>
    <w:rsid w:val="00225612"/>
    <w:rsid w:val="0022595D"/>
    <w:rsid w:val="00227D09"/>
    <w:rsid w:val="00231314"/>
    <w:rsid w:val="00231432"/>
    <w:rsid w:val="00232CED"/>
    <w:rsid w:val="0023342D"/>
    <w:rsid w:val="002355FC"/>
    <w:rsid w:val="00241B2A"/>
    <w:rsid w:val="00242C66"/>
    <w:rsid w:val="00242CE8"/>
    <w:rsid w:val="0024446D"/>
    <w:rsid w:val="0024605D"/>
    <w:rsid w:val="00252B3B"/>
    <w:rsid w:val="00253EB5"/>
    <w:rsid w:val="002572B1"/>
    <w:rsid w:val="0025767F"/>
    <w:rsid w:val="0026017F"/>
    <w:rsid w:val="00261D1D"/>
    <w:rsid w:val="0026213E"/>
    <w:rsid w:val="002654A6"/>
    <w:rsid w:val="00265BF8"/>
    <w:rsid w:val="00266E89"/>
    <w:rsid w:val="00267A6E"/>
    <w:rsid w:val="00271AAE"/>
    <w:rsid w:val="002721D6"/>
    <w:rsid w:val="002733BF"/>
    <w:rsid w:val="002737B3"/>
    <w:rsid w:val="00273AF5"/>
    <w:rsid w:val="00276376"/>
    <w:rsid w:val="002815FE"/>
    <w:rsid w:val="00285ECD"/>
    <w:rsid w:val="00286896"/>
    <w:rsid w:val="00290088"/>
    <w:rsid w:val="00290FC2"/>
    <w:rsid w:val="0029131D"/>
    <w:rsid w:val="00292860"/>
    <w:rsid w:val="00295EA0"/>
    <w:rsid w:val="00296EE8"/>
    <w:rsid w:val="002A4FCB"/>
    <w:rsid w:val="002A5C87"/>
    <w:rsid w:val="002A715F"/>
    <w:rsid w:val="002B22B3"/>
    <w:rsid w:val="002C4293"/>
    <w:rsid w:val="002C6EB6"/>
    <w:rsid w:val="002D0DC6"/>
    <w:rsid w:val="002D2BD5"/>
    <w:rsid w:val="002D4AB5"/>
    <w:rsid w:val="002D5805"/>
    <w:rsid w:val="002D746D"/>
    <w:rsid w:val="002D7DFE"/>
    <w:rsid w:val="002E00D5"/>
    <w:rsid w:val="002E03A2"/>
    <w:rsid w:val="002E3597"/>
    <w:rsid w:val="002E3DE1"/>
    <w:rsid w:val="002E76CE"/>
    <w:rsid w:val="002E7E85"/>
    <w:rsid w:val="002E7F16"/>
    <w:rsid w:val="002F0134"/>
    <w:rsid w:val="002F15EF"/>
    <w:rsid w:val="002F6272"/>
    <w:rsid w:val="002F6340"/>
    <w:rsid w:val="00301A2A"/>
    <w:rsid w:val="0030260F"/>
    <w:rsid w:val="00302905"/>
    <w:rsid w:val="003035D6"/>
    <w:rsid w:val="003062F8"/>
    <w:rsid w:val="003063A6"/>
    <w:rsid w:val="003106C4"/>
    <w:rsid w:val="00310B85"/>
    <w:rsid w:val="00310EFD"/>
    <w:rsid w:val="0031131E"/>
    <w:rsid w:val="003134E1"/>
    <w:rsid w:val="00315795"/>
    <w:rsid w:val="00316DA2"/>
    <w:rsid w:val="00320ACB"/>
    <w:rsid w:val="00320CCE"/>
    <w:rsid w:val="0032419B"/>
    <w:rsid w:val="0032728A"/>
    <w:rsid w:val="00327C50"/>
    <w:rsid w:val="003311DF"/>
    <w:rsid w:val="003318C5"/>
    <w:rsid w:val="00331EDD"/>
    <w:rsid w:val="00332548"/>
    <w:rsid w:val="0033435E"/>
    <w:rsid w:val="003346BF"/>
    <w:rsid w:val="00342EA4"/>
    <w:rsid w:val="00344121"/>
    <w:rsid w:val="00344860"/>
    <w:rsid w:val="00345602"/>
    <w:rsid w:val="00346C94"/>
    <w:rsid w:val="00350210"/>
    <w:rsid w:val="003505F5"/>
    <w:rsid w:val="00352FDF"/>
    <w:rsid w:val="003539D7"/>
    <w:rsid w:val="00354346"/>
    <w:rsid w:val="003546AA"/>
    <w:rsid w:val="00356450"/>
    <w:rsid w:val="00357CAD"/>
    <w:rsid w:val="00360E17"/>
    <w:rsid w:val="0036168E"/>
    <w:rsid w:val="003619A6"/>
    <w:rsid w:val="00362E93"/>
    <w:rsid w:val="00362EAB"/>
    <w:rsid w:val="003638CC"/>
    <w:rsid w:val="00364296"/>
    <w:rsid w:val="0036792F"/>
    <w:rsid w:val="00367B9E"/>
    <w:rsid w:val="00370A7E"/>
    <w:rsid w:val="00370C0B"/>
    <w:rsid w:val="00371901"/>
    <w:rsid w:val="003719EF"/>
    <w:rsid w:val="0037301D"/>
    <w:rsid w:val="00373AFC"/>
    <w:rsid w:val="00373CFD"/>
    <w:rsid w:val="0037678A"/>
    <w:rsid w:val="00380FBD"/>
    <w:rsid w:val="00381162"/>
    <w:rsid w:val="0038122B"/>
    <w:rsid w:val="00386C81"/>
    <w:rsid w:val="003900E3"/>
    <w:rsid w:val="00392691"/>
    <w:rsid w:val="00392A36"/>
    <w:rsid w:val="0039362B"/>
    <w:rsid w:val="00394B22"/>
    <w:rsid w:val="00395D6C"/>
    <w:rsid w:val="003A292F"/>
    <w:rsid w:val="003A2989"/>
    <w:rsid w:val="003A2A74"/>
    <w:rsid w:val="003A3403"/>
    <w:rsid w:val="003A372C"/>
    <w:rsid w:val="003A4872"/>
    <w:rsid w:val="003A4AB1"/>
    <w:rsid w:val="003A58BF"/>
    <w:rsid w:val="003A7C90"/>
    <w:rsid w:val="003B2FBC"/>
    <w:rsid w:val="003B2FCC"/>
    <w:rsid w:val="003B3076"/>
    <w:rsid w:val="003B4BB5"/>
    <w:rsid w:val="003B546C"/>
    <w:rsid w:val="003B65FF"/>
    <w:rsid w:val="003C03F3"/>
    <w:rsid w:val="003C0743"/>
    <w:rsid w:val="003C0B6B"/>
    <w:rsid w:val="003C2E06"/>
    <w:rsid w:val="003C5EA8"/>
    <w:rsid w:val="003C6F4E"/>
    <w:rsid w:val="003D1DEA"/>
    <w:rsid w:val="003D3D95"/>
    <w:rsid w:val="003D5470"/>
    <w:rsid w:val="003D6BA8"/>
    <w:rsid w:val="003E0221"/>
    <w:rsid w:val="003E0DBA"/>
    <w:rsid w:val="003E128C"/>
    <w:rsid w:val="003E150D"/>
    <w:rsid w:val="003E54CA"/>
    <w:rsid w:val="003E584F"/>
    <w:rsid w:val="003E7FF5"/>
    <w:rsid w:val="003F0050"/>
    <w:rsid w:val="003F0402"/>
    <w:rsid w:val="003F07F0"/>
    <w:rsid w:val="003F27DF"/>
    <w:rsid w:val="003F3ADF"/>
    <w:rsid w:val="003F3B36"/>
    <w:rsid w:val="003F3D44"/>
    <w:rsid w:val="003F4897"/>
    <w:rsid w:val="003F4A59"/>
    <w:rsid w:val="003F6154"/>
    <w:rsid w:val="003F61E2"/>
    <w:rsid w:val="003F76D6"/>
    <w:rsid w:val="003F7C65"/>
    <w:rsid w:val="003F7E97"/>
    <w:rsid w:val="004004A6"/>
    <w:rsid w:val="0040098A"/>
    <w:rsid w:val="00400D97"/>
    <w:rsid w:val="00403BC7"/>
    <w:rsid w:val="0040407C"/>
    <w:rsid w:val="00404C4D"/>
    <w:rsid w:val="00405A64"/>
    <w:rsid w:val="0040741F"/>
    <w:rsid w:val="004100A0"/>
    <w:rsid w:val="004100B7"/>
    <w:rsid w:val="00410D4C"/>
    <w:rsid w:val="00412C83"/>
    <w:rsid w:val="00413DE4"/>
    <w:rsid w:val="00414DAF"/>
    <w:rsid w:val="00414E9B"/>
    <w:rsid w:val="00415A70"/>
    <w:rsid w:val="00416DB9"/>
    <w:rsid w:val="00417251"/>
    <w:rsid w:val="00420C33"/>
    <w:rsid w:val="00422294"/>
    <w:rsid w:val="0043136C"/>
    <w:rsid w:val="00431A2F"/>
    <w:rsid w:val="004326D7"/>
    <w:rsid w:val="00433A97"/>
    <w:rsid w:val="004409F0"/>
    <w:rsid w:val="0044288D"/>
    <w:rsid w:val="00445D18"/>
    <w:rsid w:val="00447146"/>
    <w:rsid w:val="00451457"/>
    <w:rsid w:val="004525AB"/>
    <w:rsid w:val="00456040"/>
    <w:rsid w:val="00457CA7"/>
    <w:rsid w:val="00460E7C"/>
    <w:rsid w:val="00461DEF"/>
    <w:rsid w:val="004624B3"/>
    <w:rsid w:val="00462862"/>
    <w:rsid w:val="00465BF0"/>
    <w:rsid w:val="0047101A"/>
    <w:rsid w:val="00474C11"/>
    <w:rsid w:val="00481AA6"/>
    <w:rsid w:val="004833D2"/>
    <w:rsid w:val="0048507C"/>
    <w:rsid w:val="0048617D"/>
    <w:rsid w:val="004908EC"/>
    <w:rsid w:val="0049198B"/>
    <w:rsid w:val="00493AD6"/>
    <w:rsid w:val="00493E25"/>
    <w:rsid w:val="00493EF0"/>
    <w:rsid w:val="00495998"/>
    <w:rsid w:val="004965B4"/>
    <w:rsid w:val="00497F57"/>
    <w:rsid w:val="004A14F9"/>
    <w:rsid w:val="004A1ADC"/>
    <w:rsid w:val="004B0C21"/>
    <w:rsid w:val="004B141F"/>
    <w:rsid w:val="004B1E05"/>
    <w:rsid w:val="004B2AA2"/>
    <w:rsid w:val="004B3D7C"/>
    <w:rsid w:val="004B7626"/>
    <w:rsid w:val="004C273D"/>
    <w:rsid w:val="004C5601"/>
    <w:rsid w:val="004D0DF8"/>
    <w:rsid w:val="004D0F2E"/>
    <w:rsid w:val="004D24CE"/>
    <w:rsid w:val="004D3EF3"/>
    <w:rsid w:val="004D4403"/>
    <w:rsid w:val="004D5EE0"/>
    <w:rsid w:val="004E0EB1"/>
    <w:rsid w:val="004E1014"/>
    <w:rsid w:val="004E1819"/>
    <w:rsid w:val="004E39CC"/>
    <w:rsid w:val="004E3A40"/>
    <w:rsid w:val="004E4B4D"/>
    <w:rsid w:val="004E6620"/>
    <w:rsid w:val="004E7D49"/>
    <w:rsid w:val="004F21A4"/>
    <w:rsid w:val="004F2974"/>
    <w:rsid w:val="004F5362"/>
    <w:rsid w:val="004F5478"/>
    <w:rsid w:val="004F6473"/>
    <w:rsid w:val="0050024E"/>
    <w:rsid w:val="00500269"/>
    <w:rsid w:val="005007E2"/>
    <w:rsid w:val="00501F06"/>
    <w:rsid w:val="00503452"/>
    <w:rsid w:val="0050629C"/>
    <w:rsid w:val="005116FD"/>
    <w:rsid w:val="00520DE9"/>
    <w:rsid w:val="005224F0"/>
    <w:rsid w:val="00522C6C"/>
    <w:rsid w:val="00523355"/>
    <w:rsid w:val="00523AA6"/>
    <w:rsid w:val="005242ED"/>
    <w:rsid w:val="00524753"/>
    <w:rsid w:val="0052505A"/>
    <w:rsid w:val="00527F5B"/>
    <w:rsid w:val="00531D5B"/>
    <w:rsid w:val="005331CF"/>
    <w:rsid w:val="0053371C"/>
    <w:rsid w:val="00535E73"/>
    <w:rsid w:val="00537B62"/>
    <w:rsid w:val="00540445"/>
    <w:rsid w:val="00540C51"/>
    <w:rsid w:val="005463E4"/>
    <w:rsid w:val="0054712E"/>
    <w:rsid w:val="00547B4F"/>
    <w:rsid w:val="00550D32"/>
    <w:rsid w:val="00551F71"/>
    <w:rsid w:val="00553397"/>
    <w:rsid w:val="00554532"/>
    <w:rsid w:val="005549AD"/>
    <w:rsid w:val="005550AE"/>
    <w:rsid w:val="005552D9"/>
    <w:rsid w:val="00555C62"/>
    <w:rsid w:val="005565AC"/>
    <w:rsid w:val="00556D6B"/>
    <w:rsid w:val="00557C71"/>
    <w:rsid w:val="00566CDD"/>
    <w:rsid w:val="005706CA"/>
    <w:rsid w:val="00570EA4"/>
    <w:rsid w:val="00571AF8"/>
    <w:rsid w:val="005777B9"/>
    <w:rsid w:val="00580136"/>
    <w:rsid w:val="005801BC"/>
    <w:rsid w:val="00580B3E"/>
    <w:rsid w:val="00581459"/>
    <w:rsid w:val="00584BA1"/>
    <w:rsid w:val="00584DA1"/>
    <w:rsid w:val="00585497"/>
    <w:rsid w:val="00586CA1"/>
    <w:rsid w:val="005870C8"/>
    <w:rsid w:val="0059030C"/>
    <w:rsid w:val="005904B7"/>
    <w:rsid w:val="00590CD5"/>
    <w:rsid w:val="0059222D"/>
    <w:rsid w:val="005956B0"/>
    <w:rsid w:val="00596843"/>
    <w:rsid w:val="00596D32"/>
    <w:rsid w:val="00597C21"/>
    <w:rsid w:val="00597CCD"/>
    <w:rsid w:val="005A1320"/>
    <w:rsid w:val="005A1C90"/>
    <w:rsid w:val="005A6AAF"/>
    <w:rsid w:val="005A72D8"/>
    <w:rsid w:val="005B1A92"/>
    <w:rsid w:val="005C0744"/>
    <w:rsid w:val="005C3D0D"/>
    <w:rsid w:val="005C3F4D"/>
    <w:rsid w:val="005C74BD"/>
    <w:rsid w:val="005D59A4"/>
    <w:rsid w:val="005D7223"/>
    <w:rsid w:val="005E0732"/>
    <w:rsid w:val="005E0C92"/>
    <w:rsid w:val="005E105C"/>
    <w:rsid w:val="005F1E32"/>
    <w:rsid w:val="005F2A66"/>
    <w:rsid w:val="005F2D9D"/>
    <w:rsid w:val="005F3474"/>
    <w:rsid w:val="005F35E4"/>
    <w:rsid w:val="005F788B"/>
    <w:rsid w:val="006043C1"/>
    <w:rsid w:val="00605620"/>
    <w:rsid w:val="00606C39"/>
    <w:rsid w:val="00606CF8"/>
    <w:rsid w:val="00611B4C"/>
    <w:rsid w:val="006125DF"/>
    <w:rsid w:val="00612F3A"/>
    <w:rsid w:val="00613B08"/>
    <w:rsid w:val="00615CA9"/>
    <w:rsid w:val="0061686A"/>
    <w:rsid w:val="006170F1"/>
    <w:rsid w:val="006204BA"/>
    <w:rsid w:val="006240FE"/>
    <w:rsid w:val="00624D1A"/>
    <w:rsid w:val="00630AA0"/>
    <w:rsid w:val="0063222D"/>
    <w:rsid w:val="00632570"/>
    <w:rsid w:val="00632817"/>
    <w:rsid w:val="0063550F"/>
    <w:rsid w:val="00636B7E"/>
    <w:rsid w:val="00641E18"/>
    <w:rsid w:val="00642525"/>
    <w:rsid w:val="00642F51"/>
    <w:rsid w:val="00645625"/>
    <w:rsid w:val="00647892"/>
    <w:rsid w:val="006501FD"/>
    <w:rsid w:val="0065064E"/>
    <w:rsid w:val="00651CA5"/>
    <w:rsid w:val="00652542"/>
    <w:rsid w:val="00652600"/>
    <w:rsid w:val="00652C81"/>
    <w:rsid w:val="0065422D"/>
    <w:rsid w:val="00661874"/>
    <w:rsid w:val="00662635"/>
    <w:rsid w:val="006634C7"/>
    <w:rsid w:val="00664A6A"/>
    <w:rsid w:val="006708BA"/>
    <w:rsid w:val="00671D3A"/>
    <w:rsid w:val="00671D3E"/>
    <w:rsid w:val="00672532"/>
    <w:rsid w:val="006749F4"/>
    <w:rsid w:val="00676E05"/>
    <w:rsid w:val="006800AA"/>
    <w:rsid w:val="00680C95"/>
    <w:rsid w:val="00683E22"/>
    <w:rsid w:val="00684C51"/>
    <w:rsid w:val="006857C3"/>
    <w:rsid w:val="006867DF"/>
    <w:rsid w:val="00691439"/>
    <w:rsid w:val="006915E5"/>
    <w:rsid w:val="00693012"/>
    <w:rsid w:val="006934B5"/>
    <w:rsid w:val="006946BB"/>
    <w:rsid w:val="006972AD"/>
    <w:rsid w:val="00697B6A"/>
    <w:rsid w:val="00697BAD"/>
    <w:rsid w:val="006A01FF"/>
    <w:rsid w:val="006A209E"/>
    <w:rsid w:val="006A2693"/>
    <w:rsid w:val="006A5E20"/>
    <w:rsid w:val="006A6B7D"/>
    <w:rsid w:val="006A7DF1"/>
    <w:rsid w:val="006B17F7"/>
    <w:rsid w:val="006B1B3C"/>
    <w:rsid w:val="006B327C"/>
    <w:rsid w:val="006B32BF"/>
    <w:rsid w:val="006B444E"/>
    <w:rsid w:val="006B742E"/>
    <w:rsid w:val="006C17F8"/>
    <w:rsid w:val="006C3121"/>
    <w:rsid w:val="006C34E7"/>
    <w:rsid w:val="006C5854"/>
    <w:rsid w:val="006C71F2"/>
    <w:rsid w:val="006D1331"/>
    <w:rsid w:val="006D1B5F"/>
    <w:rsid w:val="006D24A5"/>
    <w:rsid w:val="006D2AA1"/>
    <w:rsid w:val="006D39D0"/>
    <w:rsid w:val="006D4403"/>
    <w:rsid w:val="006D5F8C"/>
    <w:rsid w:val="006E093A"/>
    <w:rsid w:val="006E1DA1"/>
    <w:rsid w:val="006E22F6"/>
    <w:rsid w:val="006E2BE6"/>
    <w:rsid w:val="006E2EAB"/>
    <w:rsid w:val="006F08C6"/>
    <w:rsid w:val="006F1DB1"/>
    <w:rsid w:val="006F2783"/>
    <w:rsid w:val="006F2CE6"/>
    <w:rsid w:val="006F4AAE"/>
    <w:rsid w:val="006F5AB8"/>
    <w:rsid w:val="006F5D6A"/>
    <w:rsid w:val="006F6E1C"/>
    <w:rsid w:val="006F715E"/>
    <w:rsid w:val="007005CA"/>
    <w:rsid w:val="00700761"/>
    <w:rsid w:val="0070078B"/>
    <w:rsid w:val="00702852"/>
    <w:rsid w:val="00702A98"/>
    <w:rsid w:val="00702FAD"/>
    <w:rsid w:val="007044A1"/>
    <w:rsid w:val="00706136"/>
    <w:rsid w:val="00707786"/>
    <w:rsid w:val="00710858"/>
    <w:rsid w:val="007134A0"/>
    <w:rsid w:val="00716232"/>
    <w:rsid w:val="007162F2"/>
    <w:rsid w:val="00716C3D"/>
    <w:rsid w:val="00722AE8"/>
    <w:rsid w:val="0072305D"/>
    <w:rsid w:val="0072360C"/>
    <w:rsid w:val="00723937"/>
    <w:rsid w:val="007303CA"/>
    <w:rsid w:val="007337C7"/>
    <w:rsid w:val="00733D3D"/>
    <w:rsid w:val="00737BCD"/>
    <w:rsid w:val="00743B65"/>
    <w:rsid w:val="00744E34"/>
    <w:rsid w:val="00747593"/>
    <w:rsid w:val="00751696"/>
    <w:rsid w:val="00752F8B"/>
    <w:rsid w:val="00753911"/>
    <w:rsid w:val="00753AD4"/>
    <w:rsid w:val="007545CE"/>
    <w:rsid w:val="0075504F"/>
    <w:rsid w:val="007608A0"/>
    <w:rsid w:val="007627B2"/>
    <w:rsid w:val="00770B79"/>
    <w:rsid w:val="007725D9"/>
    <w:rsid w:val="00772828"/>
    <w:rsid w:val="007740D4"/>
    <w:rsid w:val="00775D17"/>
    <w:rsid w:val="00777B97"/>
    <w:rsid w:val="007802AE"/>
    <w:rsid w:val="00780CB1"/>
    <w:rsid w:val="007823C8"/>
    <w:rsid w:val="00784DC2"/>
    <w:rsid w:val="00785067"/>
    <w:rsid w:val="007862F9"/>
    <w:rsid w:val="00786927"/>
    <w:rsid w:val="00793EB9"/>
    <w:rsid w:val="00797A7D"/>
    <w:rsid w:val="007A198A"/>
    <w:rsid w:val="007A2A9E"/>
    <w:rsid w:val="007A577B"/>
    <w:rsid w:val="007A5974"/>
    <w:rsid w:val="007A59B9"/>
    <w:rsid w:val="007A62DB"/>
    <w:rsid w:val="007A6E3D"/>
    <w:rsid w:val="007A7E59"/>
    <w:rsid w:val="007A7F89"/>
    <w:rsid w:val="007B007C"/>
    <w:rsid w:val="007B1F97"/>
    <w:rsid w:val="007B69F4"/>
    <w:rsid w:val="007B6FBF"/>
    <w:rsid w:val="007B799B"/>
    <w:rsid w:val="007B7C4C"/>
    <w:rsid w:val="007C02B1"/>
    <w:rsid w:val="007C0CE2"/>
    <w:rsid w:val="007C261C"/>
    <w:rsid w:val="007C3C54"/>
    <w:rsid w:val="007C5D48"/>
    <w:rsid w:val="007C74BE"/>
    <w:rsid w:val="007D1F9C"/>
    <w:rsid w:val="007D4837"/>
    <w:rsid w:val="007D77E3"/>
    <w:rsid w:val="007E1D0E"/>
    <w:rsid w:val="007E2A5A"/>
    <w:rsid w:val="007E5775"/>
    <w:rsid w:val="007F3469"/>
    <w:rsid w:val="007F61A7"/>
    <w:rsid w:val="00800509"/>
    <w:rsid w:val="00802140"/>
    <w:rsid w:val="008021AC"/>
    <w:rsid w:val="00804635"/>
    <w:rsid w:val="008061B1"/>
    <w:rsid w:val="008069B6"/>
    <w:rsid w:val="00806EB4"/>
    <w:rsid w:val="0081143F"/>
    <w:rsid w:val="00811612"/>
    <w:rsid w:val="0081196B"/>
    <w:rsid w:val="00812E89"/>
    <w:rsid w:val="00814C40"/>
    <w:rsid w:val="00815247"/>
    <w:rsid w:val="00815DA7"/>
    <w:rsid w:val="00821CF8"/>
    <w:rsid w:val="00821E29"/>
    <w:rsid w:val="00822332"/>
    <w:rsid w:val="00823195"/>
    <w:rsid w:val="008238AA"/>
    <w:rsid w:val="00827788"/>
    <w:rsid w:val="0083025F"/>
    <w:rsid w:val="00832537"/>
    <w:rsid w:val="00835B0A"/>
    <w:rsid w:val="00836155"/>
    <w:rsid w:val="0083673E"/>
    <w:rsid w:val="00836F29"/>
    <w:rsid w:val="008403D9"/>
    <w:rsid w:val="00842061"/>
    <w:rsid w:val="008444D6"/>
    <w:rsid w:val="00844B54"/>
    <w:rsid w:val="00845D8F"/>
    <w:rsid w:val="00847C2B"/>
    <w:rsid w:val="00847E3F"/>
    <w:rsid w:val="008500A1"/>
    <w:rsid w:val="008516BC"/>
    <w:rsid w:val="00852145"/>
    <w:rsid w:val="00853E68"/>
    <w:rsid w:val="00856368"/>
    <w:rsid w:val="008629B0"/>
    <w:rsid w:val="0086311A"/>
    <w:rsid w:val="008648F7"/>
    <w:rsid w:val="008652D5"/>
    <w:rsid w:val="00865898"/>
    <w:rsid w:val="00866016"/>
    <w:rsid w:val="00867CD3"/>
    <w:rsid w:val="008711C0"/>
    <w:rsid w:val="00873BA3"/>
    <w:rsid w:val="0087519C"/>
    <w:rsid w:val="00880682"/>
    <w:rsid w:val="00880CCA"/>
    <w:rsid w:val="008845F8"/>
    <w:rsid w:val="00885EB1"/>
    <w:rsid w:val="00886476"/>
    <w:rsid w:val="00886FAA"/>
    <w:rsid w:val="008904F9"/>
    <w:rsid w:val="00890BE1"/>
    <w:rsid w:val="00891F38"/>
    <w:rsid w:val="00894CF8"/>
    <w:rsid w:val="008957D3"/>
    <w:rsid w:val="00896432"/>
    <w:rsid w:val="00897DC3"/>
    <w:rsid w:val="008A058C"/>
    <w:rsid w:val="008A2897"/>
    <w:rsid w:val="008A296B"/>
    <w:rsid w:val="008A5EF8"/>
    <w:rsid w:val="008A77CB"/>
    <w:rsid w:val="008B142A"/>
    <w:rsid w:val="008B51EC"/>
    <w:rsid w:val="008B5518"/>
    <w:rsid w:val="008B5690"/>
    <w:rsid w:val="008B6972"/>
    <w:rsid w:val="008B6F11"/>
    <w:rsid w:val="008B718D"/>
    <w:rsid w:val="008B7AC8"/>
    <w:rsid w:val="008C0D4A"/>
    <w:rsid w:val="008C3079"/>
    <w:rsid w:val="008C3AF2"/>
    <w:rsid w:val="008C4CBE"/>
    <w:rsid w:val="008C5CC6"/>
    <w:rsid w:val="008C6A19"/>
    <w:rsid w:val="008D1098"/>
    <w:rsid w:val="008D21B7"/>
    <w:rsid w:val="008D26B8"/>
    <w:rsid w:val="008D2A32"/>
    <w:rsid w:val="008D31A2"/>
    <w:rsid w:val="008D511F"/>
    <w:rsid w:val="008E1B45"/>
    <w:rsid w:val="008E2829"/>
    <w:rsid w:val="008E3435"/>
    <w:rsid w:val="008E5110"/>
    <w:rsid w:val="008E6ABE"/>
    <w:rsid w:val="008E6E4D"/>
    <w:rsid w:val="008F3276"/>
    <w:rsid w:val="008F4325"/>
    <w:rsid w:val="008F4735"/>
    <w:rsid w:val="008F478A"/>
    <w:rsid w:val="008F6A95"/>
    <w:rsid w:val="008F7457"/>
    <w:rsid w:val="009049F7"/>
    <w:rsid w:val="00912081"/>
    <w:rsid w:val="00912A93"/>
    <w:rsid w:val="00913D6F"/>
    <w:rsid w:val="00914BC1"/>
    <w:rsid w:val="00915497"/>
    <w:rsid w:val="0091560D"/>
    <w:rsid w:val="00915E91"/>
    <w:rsid w:val="00916CA2"/>
    <w:rsid w:val="00917392"/>
    <w:rsid w:val="0091755E"/>
    <w:rsid w:val="00917A6B"/>
    <w:rsid w:val="009216D3"/>
    <w:rsid w:val="009226A2"/>
    <w:rsid w:val="00922B6D"/>
    <w:rsid w:val="00924E12"/>
    <w:rsid w:val="00924F01"/>
    <w:rsid w:val="00925564"/>
    <w:rsid w:val="0094146B"/>
    <w:rsid w:val="00943D83"/>
    <w:rsid w:val="00947275"/>
    <w:rsid w:val="00950C04"/>
    <w:rsid w:val="0095148B"/>
    <w:rsid w:val="0095164E"/>
    <w:rsid w:val="0095307A"/>
    <w:rsid w:val="00954025"/>
    <w:rsid w:val="00954D4F"/>
    <w:rsid w:val="00961BD2"/>
    <w:rsid w:val="009622C7"/>
    <w:rsid w:val="0096261D"/>
    <w:rsid w:val="009644C0"/>
    <w:rsid w:val="00964D31"/>
    <w:rsid w:val="00965ED9"/>
    <w:rsid w:val="009667F1"/>
    <w:rsid w:val="00966E8A"/>
    <w:rsid w:val="0097255F"/>
    <w:rsid w:val="00973282"/>
    <w:rsid w:val="00973EA7"/>
    <w:rsid w:val="009765BD"/>
    <w:rsid w:val="00976CE0"/>
    <w:rsid w:val="00977388"/>
    <w:rsid w:val="00977493"/>
    <w:rsid w:val="00980103"/>
    <w:rsid w:val="00981E18"/>
    <w:rsid w:val="009842E9"/>
    <w:rsid w:val="00985599"/>
    <w:rsid w:val="009874DF"/>
    <w:rsid w:val="00991487"/>
    <w:rsid w:val="0099415E"/>
    <w:rsid w:val="00995B71"/>
    <w:rsid w:val="0099629A"/>
    <w:rsid w:val="009A137D"/>
    <w:rsid w:val="009A2381"/>
    <w:rsid w:val="009A3589"/>
    <w:rsid w:val="009A364A"/>
    <w:rsid w:val="009A38E7"/>
    <w:rsid w:val="009A4311"/>
    <w:rsid w:val="009A4FF0"/>
    <w:rsid w:val="009A5BD4"/>
    <w:rsid w:val="009B01FB"/>
    <w:rsid w:val="009B0A14"/>
    <w:rsid w:val="009B12EB"/>
    <w:rsid w:val="009B1A0B"/>
    <w:rsid w:val="009B2245"/>
    <w:rsid w:val="009B28D6"/>
    <w:rsid w:val="009B7417"/>
    <w:rsid w:val="009C0DB7"/>
    <w:rsid w:val="009C1FB9"/>
    <w:rsid w:val="009C2C1F"/>
    <w:rsid w:val="009C38C3"/>
    <w:rsid w:val="009C4314"/>
    <w:rsid w:val="009C4852"/>
    <w:rsid w:val="009D0674"/>
    <w:rsid w:val="009D240B"/>
    <w:rsid w:val="009D2418"/>
    <w:rsid w:val="009D31B1"/>
    <w:rsid w:val="009D5DDD"/>
    <w:rsid w:val="009E2D98"/>
    <w:rsid w:val="009E3356"/>
    <w:rsid w:val="009E3C05"/>
    <w:rsid w:val="009E501E"/>
    <w:rsid w:val="009E625E"/>
    <w:rsid w:val="009E6673"/>
    <w:rsid w:val="009F02B0"/>
    <w:rsid w:val="009F060F"/>
    <w:rsid w:val="009F2C28"/>
    <w:rsid w:val="009F6740"/>
    <w:rsid w:val="00A016A1"/>
    <w:rsid w:val="00A033D1"/>
    <w:rsid w:val="00A039F9"/>
    <w:rsid w:val="00A03A10"/>
    <w:rsid w:val="00A03ECA"/>
    <w:rsid w:val="00A0494E"/>
    <w:rsid w:val="00A0661E"/>
    <w:rsid w:val="00A06A58"/>
    <w:rsid w:val="00A1029E"/>
    <w:rsid w:val="00A15450"/>
    <w:rsid w:val="00A16F14"/>
    <w:rsid w:val="00A17017"/>
    <w:rsid w:val="00A207C9"/>
    <w:rsid w:val="00A2632D"/>
    <w:rsid w:val="00A2688A"/>
    <w:rsid w:val="00A26FA9"/>
    <w:rsid w:val="00A35997"/>
    <w:rsid w:val="00A37EF4"/>
    <w:rsid w:val="00A42023"/>
    <w:rsid w:val="00A42BCF"/>
    <w:rsid w:val="00A43DDB"/>
    <w:rsid w:val="00A43E47"/>
    <w:rsid w:val="00A45A4A"/>
    <w:rsid w:val="00A50CAF"/>
    <w:rsid w:val="00A515D2"/>
    <w:rsid w:val="00A52ECE"/>
    <w:rsid w:val="00A53CA7"/>
    <w:rsid w:val="00A569CA"/>
    <w:rsid w:val="00A57D61"/>
    <w:rsid w:val="00A57DEC"/>
    <w:rsid w:val="00A611C5"/>
    <w:rsid w:val="00A622A3"/>
    <w:rsid w:val="00A627CF"/>
    <w:rsid w:val="00A63205"/>
    <w:rsid w:val="00A63537"/>
    <w:rsid w:val="00A64883"/>
    <w:rsid w:val="00A64BAB"/>
    <w:rsid w:val="00A64E54"/>
    <w:rsid w:val="00A65952"/>
    <w:rsid w:val="00A66724"/>
    <w:rsid w:val="00A71F5F"/>
    <w:rsid w:val="00A72A00"/>
    <w:rsid w:val="00A730C3"/>
    <w:rsid w:val="00A7493B"/>
    <w:rsid w:val="00A74F52"/>
    <w:rsid w:val="00A75EB3"/>
    <w:rsid w:val="00A82521"/>
    <w:rsid w:val="00A86B40"/>
    <w:rsid w:val="00A902B4"/>
    <w:rsid w:val="00A91721"/>
    <w:rsid w:val="00A91E0E"/>
    <w:rsid w:val="00A9289B"/>
    <w:rsid w:val="00A945A9"/>
    <w:rsid w:val="00A96132"/>
    <w:rsid w:val="00A9700B"/>
    <w:rsid w:val="00AA1A6C"/>
    <w:rsid w:val="00AA26E6"/>
    <w:rsid w:val="00AA33A9"/>
    <w:rsid w:val="00AA4AA1"/>
    <w:rsid w:val="00AA5A93"/>
    <w:rsid w:val="00AA7562"/>
    <w:rsid w:val="00AA75B1"/>
    <w:rsid w:val="00AA768C"/>
    <w:rsid w:val="00AB0629"/>
    <w:rsid w:val="00AB2128"/>
    <w:rsid w:val="00AB24EF"/>
    <w:rsid w:val="00AB3068"/>
    <w:rsid w:val="00AB3F07"/>
    <w:rsid w:val="00AB52E4"/>
    <w:rsid w:val="00AB5465"/>
    <w:rsid w:val="00AB60AA"/>
    <w:rsid w:val="00AB6F2F"/>
    <w:rsid w:val="00AC23B2"/>
    <w:rsid w:val="00AC46C6"/>
    <w:rsid w:val="00AC4F02"/>
    <w:rsid w:val="00AC65EA"/>
    <w:rsid w:val="00AC694B"/>
    <w:rsid w:val="00AC69C1"/>
    <w:rsid w:val="00AD194D"/>
    <w:rsid w:val="00AD27D3"/>
    <w:rsid w:val="00AD2880"/>
    <w:rsid w:val="00AD52C2"/>
    <w:rsid w:val="00AE130E"/>
    <w:rsid w:val="00AE17FC"/>
    <w:rsid w:val="00AE3319"/>
    <w:rsid w:val="00AE7225"/>
    <w:rsid w:val="00AE75B0"/>
    <w:rsid w:val="00AF12CD"/>
    <w:rsid w:val="00AF175A"/>
    <w:rsid w:val="00AF1A0A"/>
    <w:rsid w:val="00AF1E23"/>
    <w:rsid w:val="00AF26A0"/>
    <w:rsid w:val="00AF30AC"/>
    <w:rsid w:val="00AF6124"/>
    <w:rsid w:val="00AF6C67"/>
    <w:rsid w:val="00AF76B0"/>
    <w:rsid w:val="00B0137C"/>
    <w:rsid w:val="00B018FB"/>
    <w:rsid w:val="00B02353"/>
    <w:rsid w:val="00B03255"/>
    <w:rsid w:val="00B05386"/>
    <w:rsid w:val="00B05597"/>
    <w:rsid w:val="00B05697"/>
    <w:rsid w:val="00B07E69"/>
    <w:rsid w:val="00B10431"/>
    <w:rsid w:val="00B1351B"/>
    <w:rsid w:val="00B1376D"/>
    <w:rsid w:val="00B16467"/>
    <w:rsid w:val="00B16731"/>
    <w:rsid w:val="00B1789C"/>
    <w:rsid w:val="00B17EC9"/>
    <w:rsid w:val="00B21053"/>
    <w:rsid w:val="00B215E0"/>
    <w:rsid w:val="00B22F30"/>
    <w:rsid w:val="00B233D6"/>
    <w:rsid w:val="00B23CA9"/>
    <w:rsid w:val="00B2419E"/>
    <w:rsid w:val="00B248FF"/>
    <w:rsid w:val="00B24A1D"/>
    <w:rsid w:val="00B275FD"/>
    <w:rsid w:val="00B3050E"/>
    <w:rsid w:val="00B31606"/>
    <w:rsid w:val="00B32EE6"/>
    <w:rsid w:val="00B34661"/>
    <w:rsid w:val="00B4086E"/>
    <w:rsid w:val="00B4376C"/>
    <w:rsid w:val="00B44726"/>
    <w:rsid w:val="00B44BB7"/>
    <w:rsid w:val="00B45575"/>
    <w:rsid w:val="00B45CEC"/>
    <w:rsid w:val="00B514D5"/>
    <w:rsid w:val="00B522F2"/>
    <w:rsid w:val="00B54AA5"/>
    <w:rsid w:val="00B54BED"/>
    <w:rsid w:val="00B54F75"/>
    <w:rsid w:val="00B56D74"/>
    <w:rsid w:val="00B5751D"/>
    <w:rsid w:val="00B60205"/>
    <w:rsid w:val="00B61285"/>
    <w:rsid w:val="00B61617"/>
    <w:rsid w:val="00B616C7"/>
    <w:rsid w:val="00B631F3"/>
    <w:rsid w:val="00B63347"/>
    <w:rsid w:val="00B637DC"/>
    <w:rsid w:val="00B6394E"/>
    <w:rsid w:val="00B6496A"/>
    <w:rsid w:val="00B64AFA"/>
    <w:rsid w:val="00B650B4"/>
    <w:rsid w:val="00B67524"/>
    <w:rsid w:val="00B67E09"/>
    <w:rsid w:val="00B70DF2"/>
    <w:rsid w:val="00B72369"/>
    <w:rsid w:val="00B77DA7"/>
    <w:rsid w:val="00B77DE9"/>
    <w:rsid w:val="00B806DF"/>
    <w:rsid w:val="00B81583"/>
    <w:rsid w:val="00B81E50"/>
    <w:rsid w:val="00B82C78"/>
    <w:rsid w:val="00B83D4A"/>
    <w:rsid w:val="00B8659D"/>
    <w:rsid w:val="00B87BDB"/>
    <w:rsid w:val="00B87E79"/>
    <w:rsid w:val="00B95EE5"/>
    <w:rsid w:val="00BA0AFE"/>
    <w:rsid w:val="00BA0BA8"/>
    <w:rsid w:val="00BA1B40"/>
    <w:rsid w:val="00BA3B05"/>
    <w:rsid w:val="00BA738D"/>
    <w:rsid w:val="00BB3AAF"/>
    <w:rsid w:val="00BB53E8"/>
    <w:rsid w:val="00BC0CF0"/>
    <w:rsid w:val="00BC14F7"/>
    <w:rsid w:val="00BC6AFB"/>
    <w:rsid w:val="00BC7D37"/>
    <w:rsid w:val="00BD0695"/>
    <w:rsid w:val="00BD2F75"/>
    <w:rsid w:val="00BD6A90"/>
    <w:rsid w:val="00BE000D"/>
    <w:rsid w:val="00BE016B"/>
    <w:rsid w:val="00BE08EB"/>
    <w:rsid w:val="00BE16A1"/>
    <w:rsid w:val="00BE289C"/>
    <w:rsid w:val="00BE32B9"/>
    <w:rsid w:val="00BE4D04"/>
    <w:rsid w:val="00BE5EF9"/>
    <w:rsid w:val="00BE6EA7"/>
    <w:rsid w:val="00BF5D9F"/>
    <w:rsid w:val="00BF75C4"/>
    <w:rsid w:val="00C0199E"/>
    <w:rsid w:val="00C026E9"/>
    <w:rsid w:val="00C03D29"/>
    <w:rsid w:val="00C05278"/>
    <w:rsid w:val="00C05E26"/>
    <w:rsid w:val="00C074E2"/>
    <w:rsid w:val="00C07A47"/>
    <w:rsid w:val="00C07C15"/>
    <w:rsid w:val="00C11A2F"/>
    <w:rsid w:val="00C132E1"/>
    <w:rsid w:val="00C132F6"/>
    <w:rsid w:val="00C1453F"/>
    <w:rsid w:val="00C14603"/>
    <w:rsid w:val="00C14B50"/>
    <w:rsid w:val="00C15B0B"/>
    <w:rsid w:val="00C16C41"/>
    <w:rsid w:val="00C176AC"/>
    <w:rsid w:val="00C20A60"/>
    <w:rsid w:val="00C267F1"/>
    <w:rsid w:val="00C26D3E"/>
    <w:rsid w:val="00C276FC"/>
    <w:rsid w:val="00C327DF"/>
    <w:rsid w:val="00C32F40"/>
    <w:rsid w:val="00C408C3"/>
    <w:rsid w:val="00C41E86"/>
    <w:rsid w:val="00C4295B"/>
    <w:rsid w:val="00C42D11"/>
    <w:rsid w:val="00C436F1"/>
    <w:rsid w:val="00C4725B"/>
    <w:rsid w:val="00C53949"/>
    <w:rsid w:val="00C54C81"/>
    <w:rsid w:val="00C55776"/>
    <w:rsid w:val="00C56BAA"/>
    <w:rsid w:val="00C57648"/>
    <w:rsid w:val="00C61053"/>
    <w:rsid w:val="00C61709"/>
    <w:rsid w:val="00C618B0"/>
    <w:rsid w:val="00C61C9B"/>
    <w:rsid w:val="00C631F8"/>
    <w:rsid w:val="00C641DB"/>
    <w:rsid w:val="00C660EA"/>
    <w:rsid w:val="00C67B18"/>
    <w:rsid w:val="00C72262"/>
    <w:rsid w:val="00C7465F"/>
    <w:rsid w:val="00C74F06"/>
    <w:rsid w:val="00C75664"/>
    <w:rsid w:val="00C7756B"/>
    <w:rsid w:val="00C77700"/>
    <w:rsid w:val="00C82400"/>
    <w:rsid w:val="00C83BC4"/>
    <w:rsid w:val="00C843B6"/>
    <w:rsid w:val="00C85D9B"/>
    <w:rsid w:val="00C86D05"/>
    <w:rsid w:val="00C8760C"/>
    <w:rsid w:val="00C91367"/>
    <w:rsid w:val="00C917E3"/>
    <w:rsid w:val="00C91A97"/>
    <w:rsid w:val="00C91DF3"/>
    <w:rsid w:val="00C925AB"/>
    <w:rsid w:val="00C92F6D"/>
    <w:rsid w:val="00C972DB"/>
    <w:rsid w:val="00CA095A"/>
    <w:rsid w:val="00CA2D30"/>
    <w:rsid w:val="00CA42A1"/>
    <w:rsid w:val="00CA75B0"/>
    <w:rsid w:val="00CA7DE0"/>
    <w:rsid w:val="00CB0AF9"/>
    <w:rsid w:val="00CB1465"/>
    <w:rsid w:val="00CB53F8"/>
    <w:rsid w:val="00CB56C9"/>
    <w:rsid w:val="00CC047D"/>
    <w:rsid w:val="00CC0C7D"/>
    <w:rsid w:val="00CC18BB"/>
    <w:rsid w:val="00CC1C44"/>
    <w:rsid w:val="00CC33FF"/>
    <w:rsid w:val="00CC44A7"/>
    <w:rsid w:val="00CC52F6"/>
    <w:rsid w:val="00CC5726"/>
    <w:rsid w:val="00CC5CD7"/>
    <w:rsid w:val="00CD0988"/>
    <w:rsid w:val="00CD0BA3"/>
    <w:rsid w:val="00CD4CF0"/>
    <w:rsid w:val="00CD523F"/>
    <w:rsid w:val="00CD5927"/>
    <w:rsid w:val="00CD61DA"/>
    <w:rsid w:val="00CE00A5"/>
    <w:rsid w:val="00CE0B0B"/>
    <w:rsid w:val="00CE2447"/>
    <w:rsid w:val="00CE2C31"/>
    <w:rsid w:val="00CF18FC"/>
    <w:rsid w:val="00CF1B9C"/>
    <w:rsid w:val="00CF2032"/>
    <w:rsid w:val="00CF2204"/>
    <w:rsid w:val="00CF3624"/>
    <w:rsid w:val="00CF624F"/>
    <w:rsid w:val="00D00478"/>
    <w:rsid w:val="00D0433B"/>
    <w:rsid w:val="00D05EBA"/>
    <w:rsid w:val="00D06450"/>
    <w:rsid w:val="00D0712E"/>
    <w:rsid w:val="00D10C7D"/>
    <w:rsid w:val="00D111AF"/>
    <w:rsid w:val="00D13A10"/>
    <w:rsid w:val="00D15314"/>
    <w:rsid w:val="00D155E6"/>
    <w:rsid w:val="00D15DE0"/>
    <w:rsid w:val="00D15FEB"/>
    <w:rsid w:val="00D16957"/>
    <w:rsid w:val="00D171B5"/>
    <w:rsid w:val="00D20A8C"/>
    <w:rsid w:val="00D20ED8"/>
    <w:rsid w:val="00D21B12"/>
    <w:rsid w:val="00D2586E"/>
    <w:rsid w:val="00D30AD1"/>
    <w:rsid w:val="00D322EB"/>
    <w:rsid w:val="00D32F6B"/>
    <w:rsid w:val="00D36E12"/>
    <w:rsid w:val="00D43600"/>
    <w:rsid w:val="00D45CA6"/>
    <w:rsid w:val="00D460B3"/>
    <w:rsid w:val="00D463CD"/>
    <w:rsid w:val="00D46D69"/>
    <w:rsid w:val="00D47C2A"/>
    <w:rsid w:val="00D5126B"/>
    <w:rsid w:val="00D526A9"/>
    <w:rsid w:val="00D527C0"/>
    <w:rsid w:val="00D53897"/>
    <w:rsid w:val="00D54F26"/>
    <w:rsid w:val="00D54F65"/>
    <w:rsid w:val="00D55D6D"/>
    <w:rsid w:val="00D55F87"/>
    <w:rsid w:val="00D56EBE"/>
    <w:rsid w:val="00D60BFD"/>
    <w:rsid w:val="00D60DB8"/>
    <w:rsid w:val="00D610D8"/>
    <w:rsid w:val="00D611C4"/>
    <w:rsid w:val="00D616C9"/>
    <w:rsid w:val="00D61E1A"/>
    <w:rsid w:val="00D62456"/>
    <w:rsid w:val="00D6402A"/>
    <w:rsid w:val="00D64F2F"/>
    <w:rsid w:val="00D65388"/>
    <w:rsid w:val="00D67AFF"/>
    <w:rsid w:val="00D70D8D"/>
    <w:rsid w:val="00D71438"/>
    <w:rsid w:val="00D723A3"/>
    <w:rsid w:val="00D74113"/>
    <w:rsid w:val="00D74227"/>
    <w:rsid w:val="00D75561"/>
    <w:rsid w:val="00D75D36"/>
    <w:rsid w:val="00D80071"/>
    <w:rsid w:val="00D8078C"/>
    <w:rsid w:val="00D80A28"/>
    <w:rsid w:val="00D80D69"/>
    <w:rsid w:val="00D81151"/>
    <w:rsid w:val="00D83E45"/>
    <w:rsid w:val="00D902B6"/>
    <w:rsid w:val="00D90607"/>
    <w:rsid w:val="00D9131A"/>
    <w:rsid w:val="00D91799"/>
    <w:rsid w:val="00D9271E"/>
    <w:rsid w:val="00D9459A"/>
    <w:rsid w:val="00D9516E"/>
    <w:rsid w:val="00D9565E"/>
    <w:rsid w:val="00DA02AA"/>
    <w:rsid w:val="00DA124B"/>
    <w:rsid w:val="00DA1C3E"/>
    <w:rsid w:val="00DA2A70"/>
    <w:rsid w:val="00DB06B9"/>
    <w:rsid w:val="00DB0840"/>
    <w:rsid w:val="00DB16CB"/>
    <w:rsid w:val="00DB1E0C"/>
    <w:rsid w:val="00DB278D"/>
    <w:rsid w:val="00DB3F38"/>
    <w:rsid w:val="00DB5917"/>
    <w:rsid w:val="00DB5C32"/>
    <w:rsid w:val="00DC0F59"/>
    <w:rsid w:val="00DC4985"/>
    <w:rsid w:val="00DC61BC"/>
    <w:rsid w:val="00DC7C64"/>
    <w:rsid w:val="00DD03A0"/>
    <w:rsid w:val="00DD08B2"/>
    <w:rsid w:val="00DD2AAE"/>
    <w:rsid w:val="00DD330D"/>
    <w:rsid w:val="00DD3F44"/>
    <w:rsid w:val="00DD6408"/>
    <w:rsid w:val="00DE3B5E"/>
    <w:rsid w:val="00DE3E3A"/>
    <w:rsid w:val="00DE5528"/>
    <w:rsid w:val="00DE59A5"/>
    <w:rsid w:val="00DF02B4"/>
    <w:rsid w:val="00DF0F4A"/>
    <w:rsid w:val="00DF21D0"/>
    <w:rsid w:val="00DF3BA1"/>
    <w:rsid w:val="00DF5449"/>
    <w:rsid w:val="00DF6746"/>
    <w:rsid w:val="00DF6F46"/>
    <w:rsid w:val="00E02D95"/>
    <w:rsid w:val="00E04C0A"/>
    <w:rsid w:val="00E054BB"/>
    <w:rsid w:val="00E057DD"/>
    <w:rsid w:val="00E06BCD"/>
    <w:rsid w:val="00E06D28"/>
    <w:rsid w:val="00E1043F"/>
    <w:rsid w:val="00E14478"/>
    <w:rsid w:val="00E14F25"/>
    <w:rsid w:val="00E15944"/>
    <w:rsid w:val="00E175E7"/>
    <w:rsid w:val="00E21416"/>
    <w:rsid w:val="00E226A8"/>
    <w:rsid w:val="00E22AF7"/>
    <w:rsid w:val="00E24332"/>
    <w:rsid w:val="00E249DD"/>
    <w:rsid w:val="00E25C22"/>
    <w:rsid w:val="00E4017A"/>
    <w:rsid w:val="00E4051C"/>
    <w:rsid w:val="00E41824"/>
    <w:rsid w:val="00E4274F"/>
    <w:rsid w:val="00E43395"/>
    <w:rsid w:val="00E43C54"/>
    <w:rsid w:val="00E43D51"/>
    <w:rsid w:val="00E4503E"/>
    <w:rsid w:val="00E45377"/>
    <w:rsid w:val="00E46913"/>
    <w:rsid w:val="00E51235"/>
    <w:rsid w:val="00E5322D"/>
    <w:rsid w:val="00E5439E"/>
    <w:rsid w:val="00E54B7F"/>
    <w:rsid w:val="00E55678"/>
    <w:rsid w:val="00E562A7"/>
    <w:rsid w:val="00E565A3"/>
    <w:rsid w:val="00E57DA5"/>
    <w:rsid w:val="00E62010"/>
    <w:rsid w:val="00E62DE9"/>
    <w:rsid w:val="00E6559B"/>
    <w:rsid w:val="00E661E5"/>
    <w:rsid w:val="00E7021D"/>
    <w:rsid w:val="00E70E23"/>
    <w:rsid w:val="00E82661"/>
    <w:rsid w:val="00E828EC"/>
    <w:rsid w:val="00E8697A"/>
    <w:rsid w:val="00E918E4"/>
    <w:rsid w:val="00EA08F0"/>
    <w:rsid w:val="00EA2481"/>
    <w:rsid w:val="00EA3769"/>
    <w:rsid w:val="00EA43AF"/>
    <w:rsid w:val="00EA4562"/>
    <w:rsid w:val="00EA4CDA"/>
    <w:rsid w:val="00EA4F01"/>
    <w:rsid w:val="00EA6C2C"/>
    <w:rsid w:val="00EA7BFB"/>
    <w:rsid w:val="00EB1196"/>
    <w:rsid w:val="00EB24D4"/>
    <w:rsid w:val="00EB5201"/>
    <w:rsid w:val="00EB699C"/>
    <w:rsid w:val="00EB7C6A"/>
    <w:rsid w:val="00EC0CF1"/>
    <w:rsid w:val="00EC1A48"/>
    <w:rsid w:val="00EC1D55"/>
    <w:rsid w:val="00EC1D56"/>
    <w:rsid w:val="00EC2CC9"/>
    <w:rsid w:val="00EC523A"/>
    <w:rsid w:val="00EC6033"/>
    <w:rsid w:val="00ED1401"/>
    <w:rsid w:val="00ED4837"/>
    <w:rsid w:val="00EE00AA"/>
    <w:rsid w:val="00EE02CB"/>
    <w:rsid w:val="00EE0373"/>
    <w:rsid w:val="00EE2502"/>
    <w:rsid w:val="00EE2CAA"/>
    <w:rsid w:val="00EE3BFE"/>
    <w:rsid w:val="00EE75C5"/>
    <w:rsid w:val="00EE782D"/>
    <w:rsid w:val="00EF0509"/>
    <w:rsid w:val="00EF1474"/>
    <w:rsid w:val="00EF207D"/>
    <w:rsid w:val="00EF3440"/>
    <w:rsid w:val="00EF5215"/>
    <w:rsid w:val="00EF6771"/>
    <w:rsid w:val="00EF6F92"/>
    <w:rsid w:val="00EF78A3"/>
    <w:rsid w:val="00F01116"/>
    <w:rsid w:val="00F0757A"/>
    <w:rsid w:val="00F0759D"/>
    <w:rsid w:val="00F07A2D"/>
    <w:rsid w:val="00F14A10"/>
    <w:rsid w:val="00F14C0F"/>
    <w:rsid w:val="00F1740D"/>
    <w:rsid w:val="00F21109"/>
    <w:rsid w:val="00F232D0"/>
    <w:rsid w:val="00F25B68"/>
    <w:rsid w:val="00F2695D"/>
    <w:rsid w:val="00F31FC5"/>
    <w:rsid w:val="00F3297D"/>
    <w:rsid w:val="00F34B3E"/>
    <w:rsid w:val="00F35E1F"/>
    <w:rsid w:val="00F400E7"/>
    <w:rsid w:val="00F41F46"/>
    <w:rsid w:val="00F42BE4"/>
    <w:rsid w:val="00F432E6"/>
    <w:rsid w:val="00F43B31"/>
    <w:rsid w:val="00F43C89"/>
    <w:rsid w:val="00F446E7"/>
    <w:rsid w:val="00F453AD"/>
    <w:rsid w:val="00F465BC"/>
    <w:rsid w:val="00F517DC"/>
    <w:rsid w:val="00F54F5F"/>
    <w:rsid w:val="00F55223"/>
    <w:rsid w:val="00F56A85"/>
    <w:rsid w:val="00F57CBD"/>
    <w:rsid w:val="00F57DE4"/>
    <w:rsid w:val="00F60002"/>
    <w:rsid w:val="00F604D7"/>
    <w:rsid w:val="00F64B14"/>
    <w:rsid w:val="00F67C52"/>
    <w:rsid w:val="00F73180"/>
    <w:rsid w:val="00F7625D"/>
    <w:rsid w:val="00F77B7C"/>
    <w:rsid w:val="00F812F5"/>
    <w:rsid w:val="00F82B40"/>
    <w:rsid w:val="00F83EA2"/>
    <w:rsid w:val="00F860A6"/>
    <w:rsid w:val="00F9119C"/>
    <w:rsid w:val="00F91F8F"/>
    <w:rsid w:val="00F94F7B"/>
    <w:rsid w:val="00FA2423"/>
    <w:rsid w:val="00FA4F8C"/>
    <w:rsid w:val="00FA5956"/>
    <w:rsid w:val="00FA65C3"/>
    <w:rsid w:val="00FA7B50"/>
    <w:rsid w:val="00FB0C32"/>
    <w:rsid w:val="00FB0C3D"/>
    <w:rsid w:val="00FB160E"/>
    <w:rsid w:val="00FB1D79"/>
    <w:rsid w:val="00FB231C"/>
    <w:rsid w:val="00FB249F"/>
    <w:rsid w:val="00FB4A7F"/>
    <w:rsid w:val="00FB5263"/>
    <w:rsid w:val="00FB56EA"/>
    <w:rsid w:val="00FB6127"/>
    <w:rsid w:val="00FB6A5D"/>
    <w:rsid w:val="00FB6ABE"/>
    <w:rsid w:val="00FB7655"/>
    <w:rsid w:val="00FB77CE"/>
    <w:rsid w:val="00FB7925"/>
    <w:rsid w:val="00FC2642"/>
    <w:rsid w:val="00FC3C2B"/>
    <w:rsid w:val="00FC5B0F"/>
    <w:rsid w:val="00FD17D1"/>
    <w:rsid w:val="00FD1E0E"/>
    <w:rsid w:val="00FD2220"/>
    <w:rsid w:val="00FD22FD"/>
    <w:rsid w:val="00FD2971"/>
    <w:rsid w:val="00FD36A1"/>
    <w:rsid w:val="00FD6CE9"/>
    <w:rsid w:val="00FD749A"/>
    <w:rsid w:val="00FE36F3"/>
    <w:rsid w:val="00FE3E50"/>
    <w:rsid w:val="00FE461F"/>
    <w:rsid w:val="00FE5F93"/>
    <w:rsid w:val="00FE6CF6"/>
    <w:rsid w:val="00FE7A8B"/>
    <w:rsid w:val="00FF0B3D"/>
    <w:rsid w:val="00FF2B6D"/>
    <w:rsid w:val="00FF6BAE"/>
    <w:rsid w:val="010A69EA"/>
    <w:rsid w:val="012C037E"/>
    <w:rsid w:val="014C61AB"/>
    <w:rsid w:val="01E75A59"/>
    <w:rsid w:val="022B03F8"/>
    <w:rsid w:val="025B36EA"/>
    <w:rsid w:val="02C61145"/>
    <w:rsid w:val="02C91F7B"/>
    <w:rsid w:val="02D4215F"/>
    <w:rsid w:val="03503DED"/>
    <w:rsid w:val="04152751"/>
    <w:rsid w:val="04232E4A"/>
    <w:rsid w:val="048959DB"/>
    <w:rsid w:val="05192FB2"/>
    <w:rsid w:val="05B169FB"/>
    <w:rsid w:val="061B4495"/>
    <w:rsid w:val="06576A65"/>
    <w:rsid w:val="066D4FE3"/>
    <w:rsid w:val="07002CC5"/>
    <w:rsid w:val="08533A97"/>
    <w:rsid w:val="088F608D"/>
    <w:rsid w:val="09151AAD"/>
    <w:rsid w:val="09402BE3"/>
    <w:rsid w:val="0969374E"/>
    <w:rsid w:val="09993683"/>
    <w:rsid w:val="09AC13B8"/>
    <w:rsid w:val="0A686D12"/>
    <w:rsid w:val="0AEF497D"/>
    <w:rsid w:val="0B4A64BC"/>
    <w:rsid w:val="0BFE05CE"/>
    <w:rsid w:val="0D4977E1"/>
    <w:rsid w:val="0EDF4424"/>
    <w:rsid w:val="0F0B7033"/>
    <w:rsid w:val="0F24138D"/>
    <w:rsid w:val="0FB83FEF"/>
    <w:rsid w:val="1071666B"/>
    <w:rsid w:val="109F34B4"/>
    <w:rsid w:val="10AA562B"/>
    <w:rsid w:val="10CD6B48"/>
    <w:rsid w:val="1104436F"/>
    <w:rsid w:val="110E5BBA"/>
    <w:rsid w:val="111733EF"/>
    <w:rsid w:val="118C0FA8"/>
    <w:rsid w:val="11C934AA"/>
    <w:rsid w:val="12254743"/>
    <w:rsid w:val="1277740F"/>
    <w:rsid w:val="128D5AB1"/>
    <w:rsid w:val="12EF67C8"/>
    <w:rsid w:val="13077C24"/>
    <w:rsid w:val="14EA556C"/>
    <w:rsid w:val="15315E88"/>
    <w:rsid w:val="16CB109C"/>
    <w:rsid w:val="18053D9B"/>
    <w:rsid w:val="182F276E"/>
    <w:rsid w:val="183D7FE3"/>
    <w:rsid w:val="18543660"/>
    <w:rsid w:val="19644E80"/>
    <w:rsid w:val="1ACC1093"/>
    <w:rsid w:val="1B357F4B"/>
    <w:rsid w:val="1BD152FF"/>
    <w:rsid w:val="1C035FC1"/>
    <w:rsid w:val="1C737027"/>
    <w:rsid w:val="1E2C1257"/>
    <w:rsid w:val="1E3B3B3B"/>
    <w:rsid w:val="2065185D"/>
    <w:rsid w:val="20AF4897"/>
    <w:rsid w:val="213C05C8"/>
    <w:rsid w:val="216F1D0F"/>
    <w:rsid w:val="218A4D7C"/>
    <w:rsid w:val="226049FB"/>
    <w:rsid w:val="22EE3781"/>
    <w:rsid w:val="22FB55D8"/>
    <w:rsid w:val="236E2BD7"/>
    <w:rsid w:val="23826FC0"/>
    <w:rsid w:val="239850F2"/>
    <w:rsid w:val="23CA5620"/>
    <w:rsid w:val="24450CC4"/>
    <w:rsid w:val="246F6FD6"/>
    <w:rsid w:val="25564CC6"/>
    <w:rsid w:val="255B5506"/>
    <w:rsid w:val="261401B2"/>
    <w:rsid w:val="27141940"/>
    <w:rsid w:val="27C32F67"/>
    <w:rsid w:val="27F5348B"/>
    <w:rsid w:val="28295966"/>
    <w:rsid w:val="28960660"/>
    <w:rsid w:val="29AA55E6"/>
    <w:rsid w:val="29B0496B"/>
    <w:rsid w:val="2A104151"/>
    <w:rsid w:val="2A26637D"/>
    <w:rsid w:val="2A4F2C6A"/>
    <w:rsid w:val="2AE4323D"/>
    <w:rsid w:val="2AE90D0B"/>
    <w:rsid w:val="2B5E4138"/>
    <w:rsid w:val="2C092CED"/>
    <w:rsid w:val="2CBA3CF8"/>
    <w:rsid w:val="2CF90995"/>
    <w:rsid w:val="2E556359"/>
    <w:rsid w:val="2E5A1943"/>
    <w:rsid w:val="2E9B2835"/>
    <w:rsid w:val="2F6F52A5"/>
    <w:rsid w:val="2F7F5215"/>
    <w:rsid w:val="30133FF6"/>
    <w:rsid w:val="302C60D1"/>
    <w:rsid w:val="304B2155"/>
    <w:rsid w:val="30B30AEE"/>
    <w:rsid w:val="30E56B40"/>
    <w:rsid w:val="31114C4E"/>
    <w:rsid w:val="31F051DC"/>
    <w:rsid w:val="320C0148"/>
    <w:rsid w:val="324117D6"/>
    <w:rsid w:val="325753C2"/>
    <w:rsid w:val="32E37025"/>
    <w:rsid w:val="335778EC"/>
    <w:rsid w:val="33EA25EA"/>
    <w:rsid w:val="33FD2789"/>
    <w:rsid w:val="340F65E3"/>
    <w:rsid w:val="34365375"/>
    <w:rsid w:val="34687AAE"/>
    <w:rsid w:val="356145ED"/>
    <w:rsid w:val="36DC3513"/>
    <w:rsid w:val="38123277"/>
    <w:rsid w:val="384544C4"/>
    <w:rsid w:val="396E4D42"/>
    <w:rsid w:val="39E0354F"/>
    <w:rsid w:val="3A446203"/>
    <w:rsid w:val="3B9550EA"/>
    <w:rsid w:val="3BD7549F"/>
    <w:rsid w:val="3C4522DE"/>
    <w:rsid w:val="3CAE7844"/>
    <w:rsid w:val="3D7E5067"/>
    <w:rsid w:val="3DE152B4"/>
    <w:rsid w:val="3E144890"/>
    <w:rsid w:val="3E1A27E8"/>
    <w:rsid w:val="3E3655E1"/>
    <w:rsid w:val="3E4C4E3B"/>
    <w:rsid w:val="3E750142"/>
    <w:rsid w:val="3F0D46BF"/>
    <w:rsid w:val="3F396808"/>
    <w:rsid w:val="3F645173"/>
    <w:rsid w:val="40175304"/>
    <w:rsid w:val="4040682C"/>
    <w:rsid w:val="40B15C17"/>
    <w:rsid w:val="40B933FA"/>
    <w:rsid w:val="40E27BC3"/>
    <w:rsid w:val="41606FC6"/>
    <w:rsid w:val="416C1E3A"/>
    <w:rsid w:val="419F49F8"/>
    <w:rsid w:val="42131FBA"/>
    <w:rsid w:val="42AC1E73"/>
    <w:rsid w:val="43506F70"/>
    <w:rsid w:val="43581092"/>
    <w:rsid w:val="435E5C3F"/>
    <w:rsid w:val="43673C5F"/>
    <w:rsid w:val="43741927"/>
    <w:rsid w:val="43DA09DD"/>
    <w:rsid w:val="43E23D5C"/>
    <w:rsid w:val="44E10789"/>
    <w:rsid w:val="44FA2115"/>
    <w:rsid w:val="45903EC3"/>
    <w:rsid w:val="45956E27"/>
    <w:rsid w:val="45E02130"/>
    <w:rsid w:val="46573319"/>
    <w:rsid w:val="46707E8E"/>
    <w:rsid w:val="47384999"/>
    <w:rsid w:val="47647895"/>
    <w:rsid w:val="47BC37AE"/>
    <w:rsid w:val="47DA6C5B"/>
    <w:rsid w:val="496D5A38"/>
    <w:rsid w:val="49B2046B"/>
    <w:rsid w:val="49FE39E4"/>
    <w:rsid w:val="4A746433"/>
    <w:rsid w:val="4BDD4A4A"/>
    <w:rsid w:val="4C6A5693"/>
    <w:rsid w:val="4C995404"/>
    <w:rsid w:val="4D1A683A"/>
    <w:rsid w:val="4D7A54B2"/>
    <w:rsid w:val="4D7C3165"/>
    <w:rsid w:val="4DB43E3A"/>
    <w:rsid w:val="4DBB4249"/>
    <w:rsid w:val="4DBE3EFF"/>
    <w:rsid w:val="4E9C4C8C"/>
    <w:rsid w:val="4F0A798F"/>
    <w:rsid w:val="4F6B3697"/>
    <w:rsid w:val="505A0787"/>
    <w:rsid w:val="5094063B"/>
    <w:rsid w:val="52785E99"/>
    <w:rsid w:val="52A847D2"/>
    <w:rsid w:val="52C4078A"/>
    <w:rsid w:val="52F50968"/>
    <w:rsid w:val="52FF51E0"/>
    <w:rsid w:val="53392F02"/>
    <w:rsid w:val="535328CC"/>
    <w:rsid w:val="53C6028F"/>
    <w:rsid w:val="53DA6E8A"/>
    <w:rsid w:val="546F0C19"/>
    <w:rsid w:val="54FA15F8"/>
    <w:rsid w:val="560D1B44"/>
    <w:rsid w:val="563B32BD"/>
    <w:rsid w:val="567676ED"/>
    <w:rsid w:val="56BA0D14"/>
    <w:rsid w:val="57995BE5"/>
    <w:rsid w:val="57B3145B"/>
    <w:rsid w:val="57DE556A"/>
    <w:rsid w:val="589E05B6"/>
    <w:rsid w:val="58F538B0"/>
    <w:rsid w:val="5A223FDD"/>
    <w:rsid w:val="5A2B4FFD"/>
    <w:rsid w:val="5AA60C85"/>
    <w:rsid w:val="5AC00DB0"/>
    <w:rsid w:val="5B687242"/>
    <w:rsid w:val="5C9A48ED"/>
    <w:rsid w:val="5CC22F56"/>
    <w:rsid w:val="5D812C8C"/>
    <w:rsid w:val="5D8445B6"/>
    <w:rsid w:val="5F0A1204"/>
    <w:rsid w:val="5F2C3B6D"/>
    <w:rsid w:val="5F49220D"/>
    <w:rsid w:val="5FB37ED5"/>
    <w:rsid w:val="609B40F4"/>
    <w:rsid w:val="60A5443C"/>
    <w:rsid w:val="614C4D6A"/>
    <w:rsid w:val="618F0890"/>
    <w:rsid w:val="619206F7"/>
    <w:rsid w:val="62911495"/>
    <w:rsid w:val="62CF1284"/>
    <w:rsid w:val="63FE661D"/>
    <w:rsid w:val="649823C8"/>
    <w:rsid w:val="64FE68E1"/>
    <w:rsid w:val="65047316"/>
    <w:rsid w:val="65553220"/>
    <w:rsid w:val="65EC7FB1"/>
    <w:rsid w:val="66636786"/>
    <w:rsid w:val="66E83A99"/>
    <w:rsid w:val="67132312"/>
    <w:rsid w:val="672A10F4"/>
    <w:rsid w:val="67741769"/>
    <w:rsid w:val="68447EFD"/>
    <w:rsid w:val="68F072E0"/>
    <w:rsid w:val="69D06158"/>
    <w:rsid w:val="69E750FD"/>
    <w:rsid w:val="6A0840CA"/>
    <w:rsid w:val="6ACA3C4F"/>
    <w:rsid w:val="6B164AB8"/>
    <w:rsid w:val="6C5B6A0A"/>
    <w:rsid w:val="6CAE17B9"/>
    <w:rsid w:val="6DCC2991"/>
    <w:rsid w:val="6E0030C2"/>
    <w:rsid w:val="6E3F0F7B"/>
    <w:rsid w:val="6F2250EB"/>
    <w:rsid w:val="6FA1202C"/>
    <w:rsid w:val="71FA3DA6"/>
    <w:rsid w:val="72A34A62"/>
    <w:rsid w:val="737A6702"/>
    <w:rsid w:val="73D5612F"/>
    <w:rsid w:val="73E419D8"/>
    <w:rsid w:val="75F63C00"/>
    <w:rsid w:val="76145509"/>
    <w:rsid w:val="76701180"/>
    <w:rsid w:val="774872D0"/>
    <w:rsid w:val="77630F3B"/>
    <w:rsid w:val="77774756"/>
    <w:rsid w:val="77AB0D10"/>
    <w:rsid w:val="77BD0D05"/>
    <w:rsid w:val="77C26C60"/>
    <w:rsid w:val="78AD47B3"/>
    <w:rsid w:val="79735934"/>
    <w:rsid w:val="79811832"/>
    <w:rsid w:val="798E6AA2"/>
    <w:rsid w:val="79A00FE9"/>
    <w:rsid w:val="7A8B2234"/>
    <w:rsid w:val="7B091294"/>
    <w:rsid w:val="7B3A612E"/>
    <w:rsid w:val="7B7A6639"/>
    <w:rsid w:val="7B7D6956"/>
    <w:rsid w:val="7BB3499A"/>
    <w:rsid w:val="7C3829EE"/>
    <w:rsid w:val="7D283F80"/>
    <w:rsid w:val="7D352DF5"/>
    <w:rsid w:val="7D74695C"/>
    <w:rsid w:val="7D903A3B"/>
    <w:rsid w:val="7DDD721B"/>
    <w:rsid w:val="7DE6251C"/>
    <w:rsid w:val="7EE039E6"/>
    <w:rsid w:val="7FB420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Indent"/>
    <w:basedOn w:val="1"/>
    <w:qFormat/>
    <w:uiPriority w:val="0"/>
    <w:pPr>
      <w:ind w:firstLine="576"/>
    </w:pPr>
    <w:rPr>
      <w:rFonts w:ascii="仿宋_GB2312" w:eastAsia="仿宋_GB2312"/>
      <w:sz w:val="28"/>
      <w:szCs w:val="24"/>
    </w:rPr>
  </w:style>
  <w:style w:type="paragraph" w:styleId="4">
    <w:name w:val="Plain Text"/>
    <w:basedOn w:val="1"/>
    <w:link w:val="18"/>
    <w:qFormat/>
    <w:uiPriority w:val="99"/>
    <w:rPr>
      <w:rFonts w:ascii="宋体" w:hAnsi="Courier New"/>
    </w:rPr>
  </w:style>
  <w:style w:type="paragraph" w:styleId="5">
    <w:name w:val="Date"/>
    <w:basedOn w:val="1"/>
    <w:next w:val="1"/>
    <w:qFormat/>
    <w:uiPriority w:val="0"/>
    <w:pPr>
      <w:adjustRightInd w:val="0"/>
      <w:spacing w:line="312" w:lineRule="atLeast"/>
      <w:jc w:val="right"/>
      <w:textAlignment w:val="baseline"/>
    </w:pPr>
    <w:rPr>
      <w:kern w:val="0"/>
    </w:rPr>
  </w:style>
  <w:style w:type="paragraph" w:styleId="6">
    <w:name w:val="Balloon Text"/>
    <w:basedOn w:val="1"/>
    <w:semiHidden/>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2"/>
    <w:next w:val="2"/>
    <w:link w:val="21"/>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qFormat/>
    <w:uiPriority w:val="0"/>
    <w:rPr>
      <w:color w:val="0000FF"/>
      <w:u w:val="none"/>
    </w:rPr>
  </w:style>
  <w:style w:type="character" w:styleId="15">
    <w:name w:val="Hyperlink"/>
    <w:qFormat/>
    <w:uiPriority w:val="0"/>
    <w:rPr>
      <w:color w:val="0000FF"/>
      <w:u w:val="none"/>
    </w:rPr>
  </w:style>
  <w:style w:type="character" w:styleId="16">
    <w:name w:val="annotation reference"/>
    <w:qFormat/>
    <w:uiPriority w:val="0"/>
    <w:rPr>
      <w:sz w:val="21"/>
      <w:szCs w:val="21"/>
    </w:rPr>
  </w:style>
  <w:style w:type="character" w:customStyle="1" w:styleId="17">
    <w:name w:val="批注文字 字符"/>
    <w:link w:val="2"/>
    <w:qFormat/>
    <w:uiPriority w:val="0"/>
    <w:rPr>
      <w:kern w:val="2"/>
      <w:sz w:val="21"/>
    </w:rPr>
  </w:style>
  <w:style w:type="character" w:customStyle="1" w:styleId="18">
    <w:name w:val="纯文本 字符"/>
    <w:link w:val="4"/>
    <w:qFormat/>
    <w:uiPriority w:val="99"/>
    <w:rPr>
      <w:rFonts w:ascii="宋体" w:hAnsi="Courier New"/>
      <w:kern w:val="2"/>
      <w:sz w:val="21"/>
    </w:rPr>
  </w:style>
  <w:style w:type="character" w:customStyle="1" w:styleId="19">
    <w:name w:val="页脚 字符"/>
    <w:link w:val="7"/>
    <w:qFormat/>
    <w:uiPriority w:val="0"/>
    <w:rPr>
      <w:kern w:val="2"/>
      <w:sz w:val="18"/>
      <w:szCs w:val="18"/>
    </w:rPr>
  </w:style>
  <w:style w:type="character" w:customStyle="1" w:styleId="20">
    <w:name w:val="页眉 字符"/>
    <w:link w:val="8"/>
    <w:qFormat/>
    <w:uiPriority w:val="0"/>
    <w:rPr>
      <w:kern w:val="2"/>
      <w:sz w:val="18"/>
      <w:szCs w:val="18"/>
    </w:rPr>
  </w:style>
  <w:style w:type="character" w:customStyle="1" w:styleId="21">
    <w:name w:val="批注主题 字符"/>
    <w:link w:val="10"/>
    <w:qFormat/>
    <w:uiPriority w:val="0"/>
    <w:rPr>
      <w:b/>
      <w:bCs/>
      <w:kern w:val="2"/>
      <w:sz w:val="21"/>
    </w:rPr>
  </w:style>
  <w:style w:type="paragraph" w:customStyle="1" w:styleId="22">
    <w:name w:val="CM3"/>
    <w:basedOn w:val="1"/>
    <w:next w:val="1"/>
    <w:qFormat/>
    <w:uiPriority w:val="0"/>
    <w:pPr>
      <w:autoSpaceDE w:val="0"/>
      <w:autoSpaceDN w:val="0"/>
      <w:adjustRightInd w:val="0"/>
      <w:spacing w:after="468"/>
      <w:jc w:val="left"/>
    </w:pPr>
    <w:rPr>
      <w:rFonts w:ascii="宋体"/>
      <w:kern w:val="0"/>
      <w:sz w:val="24"/>
      <w:szCs w:val="24"/>
    </w:rPr>
  </w:style>
  <w:style w:type="paragraph" w:customStyle="1" w:styleId="23">
    <w:name w:val=" Char Char Char Char Char Char Char Char Char"/>
    <w:basedOn w:val="1"/>
    <w:qFormat/>
    <w:uiPriority w:val="0"/>
    <w:pPr>
      <w:numPr>
        <w:ilvl w:val="0"/>
        <w:numId w:val="1"/>
      </w:numPr>
    </w:pPr>
    <w:rPr>
      <w:sz w:val="24"/>
      <w:szCs w:val="24"/>
    </w:rPr>
  </w:style>
  <w:style w:type="paragraph" w:customStyle="1" w:styleId="24">
    <w:name w:val="CM2"/>
    <w:basedOn w:val="1"/>
    <w:next w:val="1"/>
    <w:qFormat/>
    <w:uiPriority w:val="0"/>
    <w:pPr>
      <w:autoSpaceDE w:val="0"/>
      <w:autoSpaceDN w:val="0"/>
      <w:adjustRightInd w:val="0"/>
      <w:spacing w:line="511" w:lineRule="atLeast"/>
      <w:jc w:val="left"/>
    </w:pPr>
    <w:rPr>
      <w:rFonts w:ascii="宋体"/>
      <w:kern w:val="0"/>
      <w:sz w:val="24"/>
      <w:szCs w:val="24"/>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6">
    <w:name w:val="fontstyle01"/>
    <w:qFormat/>
    <w:uiPriority w:val="0"/>
    <w:rPr>
      <w:rFonts w:hint="eastAsia" w:ascii="宋体" w:hAnsi="宋体" w:eastAsia="宋体"/>
      <w:color w:val="000000"/>
      <w:sz w:val="24"/>
      <w:szCs w:val="24"/>
    </w:rPr>
  </w:style>
  <w:style w:type="paragraph" w:customStyle="1" w:styleId="27">
    <w:name w:val="CM11"/>
    <w:basedOn w:val="1"/>
    <w:next w:val="1"/>
    <w:qFormat/>
    <w:uiPriority w:val="0"/>
    <w:pPr>
      <w:autoSpaceDE w:val="0"/>
      <w:autoSpaceDN w:val="0"/>
      <w:adjustRightInd w:val="0"/>
      <w:spacing w:line="626" w:lineRule="atLeast"/>
      <w:jc w:val="left"/>
    </w:pPr>
    <w:rPr>
      <w:rFonts w:ascii="仿宋_GB2312" w:eastAsia="仿宋_GB2312"/>
      <w:kern w:val="0"/>
      <w:sz w:val="24"/>
      <w:szCs w:val="24"/>
    </w:rPr>
  </w:style>
  <w:style w:type="paragraph" w:customStyle="1" w:styleId="28">
    <w:name w:val="CM10"/>
    <w:basedOn w:val="25"/>
    <w:next w:val="25"/>
    <w:qFormat/>
    <w:uiPriority w:val="0"/>
    <w:pPr>
      <w:spacing w:after="723"/>
    </w:pPr>
    <w:rPr>
      <w:rFonts w:ascii="黑体" w:hAnsi="Times New Roman" w:eastAsia="黑体" w:cs="Times New Roman"/>
      <w:color w:val="auto"/>
    </w:rPr>
  </w:style>
  <w:style w:type="paragraph" w:styleId="29">
    <w:name w:val="List Paragraph"/>
    <w:basedOn w:val="1"/>
    <w:qFormat/>
    <w:uiPriority w:val="34"/>
    <w:pPr>
      <w:ind w:firstLine="420" w:firstLineChars="200"/>
    </w:pPr>
  </w:style>
  <w:style w:type="paragraph" w:customStyle="1" w:styleId="30">
    <w:name w:val="_Style 29"/>
    <w:semiHidden/>
    <w:qFormat/>
    <w:uiPriority w:val="99"/>
    <w:rPr>
      <w:rFonts w:ascii="Times New Roman" w:hAnsi="Times New Roman" w:eastAsia="宋体" w:cs="Times New Roman"/>
      <w:kern w:val="2"/>
      <w:sz w:val="21"/>
      <w:lang w:val="en-US" w:eastAsia="zh-CN" w:bidi="ar-SA"/>
    </w:rPr>
  </w:style>
  <w:style w:type="table" w:customStyle="1" w:styleId="31">
    <w:name w:val="立信年报表格 [2级]"/>
    <w:basedOn w:val="11"/>
    <w:qFormat/>
    <w:uiPriority w:val="0"/>
    <w:pPr>
      <w:jc w:val="both"/>
    </w:pPr>
    <w:rPr>
      <w:rFonts w:ascii="Times New Roman" w:hAnsi="Times New Roman" w:eastAsia="宋体" w:cs="Times New Roman"/>
      <w:color w:val="000000"/>
      <w:sz w:val="18"/>
    </w:rPr>
    <w:tblPr>
      <w:tblBorders>
        <w:top w:val="single" w:color="auto" w:sz="12" w:space="0"/>
        <w:bottom w:val="single" w:color="auto" w:sz="12" w:space="0"/>
        <w:insideH w:val="dotted" w:color="auto" w:sz="4" w:space="0"/>
        <w:insideV w:val="dotted" w:color="auto" w:sz="4" w:space="0"/>
      </w:tblBorders>
    </w:tblPr>
    <w:tcPr>
      <w:shd w:val="clear" w:color="auto" w:fill="auto"/>
    </w:tcPr>
    <w:tblStylePr w:type="firstRow">
      <w:pPr>
        <w:spacing w:line="400" w:lineRule="atLeast"/>
      </w:pPr>
    </w:tblStylePr>
    <w:tblStylePr w:type="lastRow">
      <w:pPr>
        <w:spacing w:line="400" w:lineRule="atLeast"/>
      </w:pPr>
    </w:tblStylePr>
    <w:tblStylePr w:type="firstCol">
      <w:pPr>
        <w:spacing w:line="400" w:lineRule="atLeast"/>
      </w:pPr>
    </w:tblStylePr>
    <w:tblStylePr w:type="band1Vert">
      <w:pPr>
        <w:spacing w:line="400" w:lineRule="atLeast"/>
      </w:pPr>
    </w:tblStylePr>
    <w:tblStylePr w:type="band2Vert">
      <w:pPr>
        <w:spacing w:line="400" w:lineRule="atLeast"/>
      </w:pPr>
    </w:tblStylePr>
    <w:tblStylePr w:type="band1Horz">
      <w:pPr>
        <w:spacing w:line="400" w:lineRule="atLeast"/>
      </w:pPr>
    </w:tblStylePr>
    <w:tblStylePr w:type="band2Horz">
      <w:pPr>
        <w:spacing w:line="400" w:lineRule="atLeast"/>
      </w:pPr>
    </w:tblStylePr>
    <w:tblStylePr w:type="neCell">
      <w:pPr>
        <w:spacing w:line="400" w:lineRule="atLeast"/>
      </w:pPr>
    </w:tblStylePr>
    <w:tblStylePr w:type="nwCell">
      <w:pPr>
        <w:spacing w:line="400" w:lineRule="atLeast"/>
      </w:pPr>
    </w:tblStylePr>
    <w:tblStylePr w:type="seCell">
      <w:pPr>
        <w:spacing w:line="400" w:lineRule="atLeast"/>
      </w:pPr>
    </w:tblStylePr>
    <w:tblStylePr w:type="swCell">
      <w:pPr>
        <w:spacing w:line="400" w:lineRule="atLeast"/>
      </w:pPr>
    </w:tblStylePr>
  </w:style>
  <w:style w:type="character" w:customStyle="1" w:styleId="32">
    <w:name w:val="bpm_system_waiting"/>
    <w:qFormat/>
    <w:uiPriority w:val="0"/>
    <w:rPr>
      <w:b/>
      <w:bCs/>
      <w:sz w:val="30"/>
      <w:szCs w:val="30"/>
    </w:rPr>
  </w:style>
  <w:style w:type="character" w:customStyle="1" w:styleId="33">
    <w:name w:val="font51"/>
    <w:qFormat/>
    <w:uiPriority w:val="0"/>
    <w:rPr>
      <w:rFonts w:hint="eastAsia" w:ascii="宋体" w:hAnsi="宋体" w:eastAsia="宋体" w:cs="宋体"/>
      <w:b/>
      <w:bCs/>
      <w:color w:val="000000"/>
      <w:sz w:val="21"/>
      <w:szCs w:val="21"/>
      <w:u w:val="none"/>
    </w:rPr>
  </w:style>
  <w:style w:type="character" w:customStyle="1" w:styleId="34">
    <w:name w:val="font41"/>
    <w:basedOn w:val="13"/>
    <w:qFormat/>
    <w:uiPriority w:val="0"/>
    <w:rPr>
      <w:rFonts w:hint="default" w:ascii="Times New Roman" w:hAnsi="Times New Roman" w:cs="Times New Roman"/>
      <w:b/>
      <w:bCs/>
      <w:color w:val="000000"/>
      <w:sz w:val="21"/>
      <w:szCs w:val="21"/>
      <w:u w:val="none"/>
    </w:rPr>
  </w:style>
  <w:style w:type="character" w:customStyle="1" w:styleId="35">
    <w:name w:val="font11"/>
    <w:basedOn w:val="13"/>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3581</Words>
  <Characters>5386</Characters>
  <Lines>71</Lines>
  <Paragraphs>20</Paragraphs>
  <TotalTime>8</TotalTime>
  <ScaleCrop>false</ScaleCrop>
  <LinksUpToDate>false</LinksUpToDate>
  <CharactersWithSpaces>5386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2019-12-02T09:03:00Z</dcterms:created>
  <dc:creator>qw</dc:creator>
  <cp:lastModifiedBy>海涛</cp:lastModifiedBy>
  <cp:lastPrinted>2017-05-27T01:49:00Z</cp:lastPrinted>
  <dcterms:modified xsi:type="dcterms:W3CDTF">2025-06-24T09:51:26Z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12BB92638F724F1C8B81236672435A75_13</vt:lpwstr>
  </property>
  <property fmtid="{D5CDD505-2E9C-101B-9397-08002B2CF9AE}" pid="4" name="KSOTemplateDocerSaveRecord">
    <vt:lpwstr>eyJoZGlkIjoiZWRkOGZjOWY1YzhhOWRkYTczNjQzNDkyYzhmNDA5ODEiLCJ1c2VySWQiOiIzNjg4OTEzODkifQ==</vt:lpwstr>
  </property>
</Properties>
</file>